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05E" w:rsidRDefault="0090205E" w:rsidP="0090205E">
      <w:pPr>
        <w:widowControl w:val="0"/>
        <w:shd w:val="clear" w:color="auto" w:fill="FFFFFF"/>
        <w:tabs>
          <w:tab w:val="left" w:pos="851"/>
          <w:tab w:val="left" w:pos="1134"/>
        </w:tabs>
        <w:spacing w:after="0" w:line="240" w:lineRule="auto"/>
        <w:ind w:right="-5" w:firstLine="709"/>
        <w:jc w:val="both"/>
        <w:rPr>
          <w:rFonts w:ascii="Times New Roman" w:eastAsia="Times New Roman" w:hAnsi="Times New Roman" w:cs="Times New Roman"/>
          <w:sz w:val="26"/>
          <w:szCs w:val="26"/>
          <w:lang w:eastAsia="ru-RU" w:bidi="ru-RU"/>
        </w:rPr>
      </w:pPr>
    </w:p>
    <w:p w:rsidR="0090205E" w:rsidRDefault="0090205E" w:rsidP="0090205E">
      <w:pPr>
        <w:widowControl w:val="0"/>
        <w:shd w:val="clear" w:color="auto" w:fill="FFFFFF"/>
        <w:tabs>
          <w:tab w:val="left" w:pos="851"/>
          <w:tab w:val="left" w:pos="1134"/>
        </w:tabs>
        <w:spacing w:after="0" w:line="240" w:lineRule="auto"/>
        <w:ind w:right="-5" w:firstLine="709"/>
        <w:jc w:val="both"/>
        <w:rPr>
          <w:rFonts w:ascii="Times New Roman" w:hAnsi="Times New Roman"/>
          <w:b/>
          <w:sz w:val="28"/>
          <w:szCs w:val="28"/>
        </w:rPr>
      </w:pPr>
      <w:r>
        <w:rPr>
          <w:rFonts w:ascii="Times New Roman" w:hAnsi="Times New Roman"/>
          <w:b/>
          <w:sz w:val="28"/>
          <w:szCs w:val="28"/>
        </w:rPr>
        <w:t>Предложения и рекомендации контрольно-счетной палаты Архангельской области по результатам контрольн</w:t>
      </w:r>
      <w:r>
        <w:rPr>
          <w:rFonts w:ascii="Times New Roman" w:hAnsi="Times New Roman"/>
          <w:b/>
          <w:sz w:val="28"/>
          <w:szCs w:val="28"/>
        </w:rPr>
        <w:t xml:space="preserve">ых </w:t>
      </w:r>
      <w:r>
        <w:rPr>
          <w:rFonts w:ascii="Times New Roman" w:hAnsi="Times New Roman"/>
          <w:b/>
          <w:sz w:val="28"/>
          <w:szCs w:val="28"/>
        </w:rPr>
        <w:t>мероприяти</w:t>
      </w:r>
      <w:r>
        <w:rPr>
          <w:rFonts w:ascii="Times New Roman" w:hAnsi="Times New Roman"/>
          <w:b/>
          <w:sz w:val="28"/>
          <w:szCs w:val="28"/>
        </w:rPr>
        <w:t>й</w:t>
      </w:r>
      <w:r>
        <w:rPr>
          <w:rFonts w:ascii="Times New Roman" w:hAnsi="Times New Roman"/>
          <w:b/>
          <w:sz w:val="28"/>
          <w:szCs w:val="28"/>
        </w:rPr>
        <w:t xml:space="preserve">  </w:t>
      </w:r>
      <w:r>
        <w:rPr>
          <w:rFonts w:ascii="Times New Roman" w:hAnsi="Times New Roman"/>
          <w:b/>
          <w:sz w:val="28"/>
          <w:szCs w:val="28"/>
        </w:rPr>
        <w:t xml:space="preserve"> </w:t>
      </w:r>
      <w:r w:rsidRPr="0090205E">
        <w:rPr>
          <w:rFonts w:ascii="Times New Roman" w:hAnsi="Times New Roman"/>
          <w:b/>
          <w:sz w:val="28"/>
          <w:szCs w:val="28"/>
        </w:rPr>
        <w:t xml:space="preserve">в подведомственных министерству образования Архангельской области государственных бюджетных профессиональных образовательных учреждениях Архангельской области «Архангельский государственный многопрофильный колледж» и «Архангельский педагогический колледж» </w:t>
      </w:r>
    </w:p>
    <w:p w:rsidR="0090205E" w:rsidRDefault="0090205E" w:rsidP="0090205E">
      <w:pPr>
        <w:widowControl w:val="0"/>
        <w:shd w:val="clear" w:color="auto" w:fill="FFFFFF"/>
        <w:tabs>
          <w:tab w:val="left" w:pos="851"/>
          <w:tab w:val="left" w:pos="1134"/>
        </w:tabs>
        <w:spacing w:after="0" w:line="240" w:lineRule="auto"/>
        <w:ind w:right="-5" w:firstLine="709"/>
        <w:jc w:val="both"/>
        <w:rPr>
          <w:rFonts w:ascii="Times New Roman" w:hAnsi="Times New Roman"/>
          <w:b/>
          <w:sz w:val="28"/>
          <w:szCs w:val="28"/>
        </w:rPr>
      </w:pPr>
    </w:p>
    <w:p w:rsidR="0090205E" w:rsidRDefault="0090205E" w:rsidP="0090205E">
      <w:pPr>
        <w:widowControl w:val="0"/>
        <w:shd w:val="clear" w:color="auto" w:fill="FFFFFF"/>
        <w:tabs>
          <w:tab w:val="left" w:pos="851"/>
          <w:tab w:val="left" w:pos="1134"/>
        </w:tabs>
        <w:spacing w:after="0" w:line="240" w:lineRule="auto"/>
        <w:ind w:right="-5" w:firstLine="709"/>
        <w:jc w:val="both"/>
        <w:rPr>
          <w:rFonts w:ascii="Times New Roman" w:eastAsia="Times New Roman" w:hAnsi="Times New Roman" w:cs="Times New Roman"/>
          <w:sz w:val="26"/>
          <w:szCs w:val="26"/>
          <w:lang w:eastAsia="ru-RU" w:bidi="ru-RU"/>
        </w:rPr>
      </w:pPr>
    </w:p>
    <w:p w:rsidR="0090205E" w:rsidRPr="0090205E" w:rsidRDefault="0090205E" w:rsidP="0090205E">
      <w:pPr>
        <w:widowControl w:val="0"/>
        <w:shd w:val="clear" w:color="auto" w:fill="FFFFFF"/>
        <w:tabs>
          <w:tab w:val="left" w:pos="851"/>
          <w:tab w:val="left" w:pos="1134"/>
        </w:tabs>
        <w:spacing w:after="0" w:line="240" w:lineRule="auto"/>
        <w:ind w:firstLine="709"/>
        <w:jc w:val="both"/>
        <w:rPr>
          <w:rFonts w:ascii="Times New Roman" w:eastAsia="Times New Roman" w:hAnsi="Times New Roman" w:cs="Times New Roman"/>
          <w:bCs/>
          <w:sz w:val="26"/>
          <w:szCs w:val="26"/>
          <w:lang w:eastAsia="ru-RU" w:bidi="ru-RU"/>
        </w:rPr>
      </w:pPr>
      <w:r w:rsidRPr="0090205E">
        <w:rPr>
          <w:rFonts w:ascii="Times New Roman" w:eastAsia="Times New Roman" w:hAnsi="Times New Roman" w:cs="Times New Roman"/>
          <w:sz w:val="26"/>
          <w:szCs w:val="26"/>
          <w:lang w:eastAsia="ru-RU" w:bidi="ru-RU"/>
        </w:rPr>
        <w:t xml:space="preserve">Контрольно-счетной палатой Архангельской области в соответствии со статьями 157, 265, 268.1 Бюджетного кодекса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областным законом от 30.05.2011 № 288-22-03 «О контрольно-счетной палате Архангельской области», планом экспертно-аналитической и контрольной деятельности контрольно-счетной палаты Архангельской области на 2023 год, на 2024 год, проведены </w:t>
      </w:r>
      <w:r w:rsidRPr="0090205E">
        <w:rPr>
          <w:rFonts w:ascii="Times New Roman" w:eastAsia="Times New Roman" w:hAnsi="Times New Roman" w:cs="Times New Roman"/>
          <w:bCs/>
          <w:sz w:val="26"/>
          <w:szCs w:val="26"/>
          <w:lang w:eastAsia="ru-RU" w:bidi="ru-RU"/>
        </w:rPr>
        <w:t xml:space="preserve">контрольные мероприятия в подведомственных министерству образования Архангельской области (далее – министерство) государственных бюджетных профессиональных образовательных учреждениях Архангельской области «Архангельский государственный многопрофильный колледж» (далее – ГБПОУ АО «Архангельский государственный многопрофильный колледж») и </w:t>
      </w:r>
      <w:r w:rsidRPr="0090205E">
        <w:rPr>
          <w:rFonts w:ascii="Times New Roman" w:eastAsia="Times New Roman" w:hAnsi="Times New Roman" w:cs="Times New Roman"/>
          <w:sz w:val="26"/>
          <w:szCs w:val="26"/>
          <w:lang w:eastAsia="ru-RU"/>
        </w:rPr>
        <w:t>«Архангельский педагогический колледж</w:t>
      </w:r>
      <w:r w:rsidRPr="0090205E">
        <w:rPr>
          <w:rFonts w:ascii="Times New Roman" w:eastAsia="Times New Roman" w:hAnsi="Times New Roman" w:cs="Times New Roman"/>
          <w:bCs/>
          <w:sz w:val="26"/>
          <w:szCs w:val="26"/>
          <w:lang w:eastAsia="ru-RU" w:bidi="ru-RU"/>
        </w:rPr>
        <w:t xml:space="preserve">» (далее – ГБПОУ АО </w:t>
      </w:r>
      <w:r w:rsidRPr="0090205E">
        <w:rPr>
          <w:rFonts w:ascii="Times New Roman" w:eastAsia="Times New Roman" w:hAnsi="Times New Roman" w:cs="Times New Roman"/>
          <w:sz w:val="26"/>
          <w:szCs w:val="26"/>
          <w:lang w:eastAsia="ru-RU"/>
        </w:rPr>
        <w:t>«Архангельский педагогический колледж</w:t>
      </w:r>
      <w:r w:rsidRPr="0090205E">
        <w:rPr>
          <w:rFonts w:ascii="Times New Roman" w:eastAsia="Times New Roman" w:hAnsi="Times New Roman" w:cs="Times New Roman"/>
          <w:bCs/>
          <w:sz w:val="26"/>
          <w:szCs w:val="26"/>
          <w:lang w:eastAsia="ru-RU" w:bidi="ru-RU"/>
        </w:rPr>
        <w:t xml:space="preserve">»), в ходе которых выявлен ряд системных проблем, препятствующих правомерному использованию предоставленных учреждениям бюджетных средств, а также сдерживающих оценку действительной потребности в объемах финансирования. </w:t>
      </w:r>
    </w:p>
    <w:p w:rsidR="0090205E" w:rsidRPr="0090205E" w:rsidRDefault="0090205E" w:rsidP="0090205E">
      <w:pPr>
        <w:widowControl w:val="0"/>
        <w:numPr>
          <w:ilvl w:val="0"/>
          <w:numId w:val="1"/>
        </w:numPr>
        <w:spacing w:after="0" w:line="240" w:lineRule="auto"/>
        <w:ind w:left="0" w:firstLine="709"/>
        <w:jc w:val="both"/>
        <w:rPr>
          <w:rFonts w:ascii="Times New Roman" w:eastAsia="Times New Roman" w:hAnsi="Times New Roman" w:cs="Times New Roman"/>
          <w:sz w:val="26"/>
          <w:szCs w:val="26"/>
        </w:rPr>
      </w:pPr>
      <w:r w:rsidRPr="0090205E">
        <w:rPr>
          <w:rFonts w:ascii="Times New Roman" w:eastAsia="Times New Roman" w:hAnsi="Times New Roman" w:cs="Times New Roman"/>
          <w:sz w:val="26"/>
          <w:szCs w:val="26"/>
        </w:rPr>
        <w:t xml:space="preserve"> В ходе проведенных контрольных мероприятий установлено, что </w:t>
      </w:r>
      <w:r w:rsidRPr="0090205E">
        <w:rPr>
          <w:rFonts w:ascii="Times New Roman" w:eastAsia="Calibri" w:hAnsi="Times New Roman" w:cs="Times New Roman"/>
          <w:sz w:val="26"/>
          <w:szCs w:val="26"/>
        </w:rPr>
        <w:t xml:space="preserve">государственные задания для подведомственных министерству учреждений доводится на основании </w:t>
      </w:r>
      <w:r w:rsidRPr="0090205E">
        <w:rPr>
          <w:rFonts w:ascii="Times New Roman" w:eastAsia="Times New Roman" w:hAnsi="Times New Roman" w:cs="Times New Roman"/>
          <w:bCs/>
          <w:sz w:val="26"/>
          <w:szCs w:val="26"/>
        </w:rPr>
        <w:t xml:space="preserve">Порядка формирования </w:t>
      </w:r>
      <w:proofErr w:type="spellStart"/>
      <w:r w:rsidRPr="0090205E">
        <w:rPr>
          <w:rFonts w:ascii="Times New Roman" w:eastAsia="Times New Roman" w:hAnsi="Times New Roman" w:cs="Times New Roman"/>
          <w:bCs/>
          <w:sz w:val="26"/>
          <w:szCs w:val="26"/>
        </w:rPr>
        <w:t>госзаданий</w:t>
      </w:r>
      <w:proofErr w:type="spellEnd"/>
      <w:r w:rsidRPr="0090205E">
        <w:rPr>
          <w:rFonts w:ascii="Times New Roman" w:eastAsia="Times New Roman" w:hAnsi="Times New Roman" w:cs="Times New Roman"/>
          <w:bCs/>
          <w:sz w:val="26"/>
          <w:szCs w:val="26"/>
        </w:rPr>
        <w:t xml:space="preserve"> № 338-</w:t>
      </w:r>
      <w:proofErr w:type="gramStart"/>
      <w:r w:rsidRPr="0090205E">
        <w:rPr>
          <w:rFonts w:ascii="Times New Roman" w:eastAsia="Times New Roman" w:hAnsi="Times New Roman" w:cs="Times New Roman"/>
          <w:bCs/>
          <w:sz w:val="26"/>
          <w:szCs w:val="26"/>
        </w:rPr>
        <w:t xml:space="preserve">пп </w:t>
      </w:r>
      <w:r w:rsidRPr="0090205E">
        <w:rPr>
          <w:rFonts w:ascii="Times New Roman" w:eastAsia="Times New Roman" w:hAnsi="Times New Roman" w:cs="Times New Roman"/>
          <w:bCs/>
          <w:sz w:val="26"/>
          <w:szCs w:val="26"/>
          <w:vertAlign w:val="superscript"/>
        </w:rPr>
        <w:footnoteReference w:id="1"/>
      </w:r>
      <w:r w:rsidRPr="0090205E">
        <w:rPr>
          <w:rFonts w:ascii="Times New Roman" w:eastAsia="Times New Roman" w:hAnsi="Times New Roman" w:cs="Times New Roman"/>
          <w:sz w:val="26"/>
          <w:szCs w:val="26"/>
        </w:rPr>
        <w:t>.</w:t>
      </w:r>
      <w:proofErr w:type="gramEnd"/>
    </w:p>
    <w:p w:rsidR="0090205E" w:rsidRPr="0090205E" w:rsidRDefault="0090205E" w:rsidP="009020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0205E">
        <w:rPr>
          <w:rFonts w:ascii="Times New Roman" w:eastAsia="Times New Roman" w:hAnsi="Times New Roman" w:cs="Times New Roman"/>
          <w:sz w:val="26"/>
          <w:szCs w:val="26"/>
          <w:lang w:eastAsia="ru-RU"/>
        </w:rPr>
        <w:t>Значения показателей, характеризующих объем государственной услуги (работы), в государственном задании определяются исполнительными органами, осуществляющими полномочия учредителя, на основе сведений о востребованности соответствующих государственных услуг (работ) в предшествующем финансовом году, сведений о степени выполнения государственного задания государственным учреждением Архангельской области в предшествующем финансовом году, прогнозируемой динамики количества потребителей государственных услуг в очередном финансовом году, прогнозируемых возможностей государственного учреждения Архангельской области по оказанию соответствующих государственных услуг (выполнению работ).</w:t>
      </w:r>
    </w:p>
    <w:p w:rsidR="0090205E" w:rsidRPr="0090205E" w:rsidRDefault="0090205E" w:rsidP="0090205E">
      <w:pPr>
        <w:spacing w:after="0" w:line="240" w:lineRule="auto"/>
        <w:ind w:firstLine="709"/>
        <w:jc w:val="both"/>
        <w:rPr>
          <w:rFonts w:ascii="Times New Roman" w:eastAsia="Times New Roman" w:hAnsi="Times New Roman" w:cs="Times New Roman"/>
          <w:sz w:val="26"/>
          <w:szCs w:val="26"/>
          <w:lang w:eastAsia="ru-RU"/>
        </w:rPr>
      </w:pPr>
      <w:r w:rsidRPr="0090205E">
        <w:rPr>
          <w:rFonts w:ascii="Times New Roman" w:eastAsia="Times New Roman" w:hAnsi="Times New Roman" w:cs="Times New Roman"/>
          <w:sz w:val="26"/>
          <w:szCs w:val="26"/>
          <w:lang w:eastAsia="ru-RU"/>
        </w:rPr>
        <w:t xml:space="preserve">В соответствии с абзацем 2 пункта 7 Порядка формирования </w:t>
      </w:r>
      <w:proofErr w:type="spellStart"/>
      <w:r w:rsidRPr="0090205E">
        <w:rPr>
          <w:rFonts w:ascii="Times New Roman" w:eastAsia="Times New Roman" w:hAnsi="Times New Roman" w:cs="Times New Roman"/>
          <w:sz w:val="26"/>
          <w:szCs w:val="26"/>
          <w:lang w:eastAsia="ru-RU"/>
        </w:rPr>
        <w:t>госзаданий</w:t>
      </w:r>
      <w:proofErr w:type="spellEnd"/>
      <w:r w:rsidRPr="0090205E">
        <w:rPr>
          <w:rFonts w:ascii="Times New Roman" w:eastAsia="Times New Roman" w:hAnsi="Times New Roman" w:cs="Times New Roman"/>
          <w:sz w:val="26"/>
          <w:szCs w:val="26"/>
          <w:lang w:eastAsia="ru-RU"/>
        </w:rPr>
        <w:t xml:space="preserve"> № 338-пп значения показателей, характеризующих объемы государственных услуг для государственных профессиональных образовательных организаций Архангельской области, устанавливаются на плановый период на уровне очередного финансового </w:t>
      </w:r>
      <w:r w:rsidRPr="0090205E">
        <w:rPr>
          <w:rFonts w:ascii="Times New Roman" w:eastAsia="Times New Roman" w:hAnsi="Times New Roman" w:cs="Times New Roman"/>
          <w:sz w:val="26"/>
          <w:szCs w:val="26"/>
          <w:lang w:eastAsia="ru-RU"/>
        </w:rPr>
        <w:lastRenderedPageBreak/>
        <w:t xml:space="preserve">года и корректируются ежегодно в соответствии с </w:t>
      </w:r>
      <w:r w:rsidRPr="0090205E">
        <w:rPr>
          <w:rFonts w:ascii="Times New Roman" w:eastAsia="Times New Roman" w:hAnsi="Times New Roman" w:cs="Times New Roman"/>
          <w:sz w:val="26"/>
          <w:szCs w:val="26"/>
          <w:u w:val="single"/>
          <w:lang w:eastAsia="ru-RU"/>
        </w:rPr>
        <w:t>методикой расчета среднегодового контингента</w:t>
      </w:r>
      <w:r w:rsidRPr="0090205E">
        <w:rPr>
          <w:rFonts w:ascii="Times New Roman" w:eastAsia="Times New Roman" w:hAnsi="Times New Roman" w:cs="Times New Roman"/>
          <w:sz w:val="26"/>
          <w:szCs w:val="26"/>
          <w:lang w:eastAsia="ru-RU"/>
        </w:rPr>
        <w:t xml:space="preserve"> обучающихся в государственных профессиональных образовательных организациях Архангельской области по основным профессиональным образовательным программам среднего профессионального образования, основным образовательным программам профессионального обучения за счет бюджетных ассигнований областного бюджета, утверждаемой исполнительным органом государственной власти Архангельской области, выполняющим функции учредителя соответствующей государственной профессиональной образовательной организации Архангельской области.</w:t>
      </w:r>
    </w:p>
    <w:p w:rsidR="0090205E" w:rsidRPr="0090205E" w:rsidRDefault="0090205E" w:rsidP="0090205E">
      <w:pPr>
        <w:spacing w:after="0" w:line="240" w:lineRule="auto"/>
        <w:ind w:firstLine="709"/>
        <w:jc w:val="both"/>
        <w:rPr>
          <w:rFonts w:ascii="Times New Roman" w:eastAsia="Times New Roman" w:hAnsi="Times New Roman" w:cs="Times New Roman"/>
          <w:sz w:val="26"/>
          <w:szCs w:val="26"/>
          <w:lang w:eastAsia="ru-RU"/>
        </w:rPr>
      </w:pPr>
      <w:r w:rsidRPr="0090205E">
        <w:rPr>
          <w:rFonts w:ascii="Times New Roman" w:eastAsia="Times New Roman" w:hAnsi="Times New Roman" w:cs="Times New Roman"/>
          <w:sz w:val="26"/>
          <w:szCs w:val="26"/>
          <w:lang w:eastAsia="ru-RU"/>
        </w:rPr>
        <w:t>Методика расчета среднегодового контингента обучающихся в государственных профессиональных образовательных организациях Архангельской области по основным профессиональным образовательным программам среднего профессионального образования, основным образовательным программам профессионального обучения за счет бюджетных ассигнований областного бюджета утверждена распоряжением министерства образования и науки Архангельской области от 15.04.2019 № 599 (далее - Методика расчета среднегодового контингента обучающихся № 599).</w:t>
      </w:r>
    </w:p>
    <w:p w:rsidR="0090205E" w:rsidRPr="0090205E" w:rsidRDefault="0090205E" w:rsidP="0090205E">
      <w:pPr>
        <w:spacing w:after="0" w:line="240" w:lineRule="auto"/>
        <w:ind w:firstLine="709"/>
        <w:jc w:val="both"/>
        <w:rPr>
          <w:rFonts w:ascii="Times New Roman" w:eastAsia="Times New Roman" w:hAnsi="Times New Roman" w:cs="Times New Roman"/>
          <w:sz w:val="26"/>
          <w:szCs w:val="26"/>
          <w:lang w:eastAsia="ru-RU"/>
        </w:rPr>
      </w:pPr>
      <w:r w:rsidRPr="0090205E">
        <w:rPr>
          <w:rFonts w:ascii="Times New Roman" w:eastAsia="Times New Roman" w:hAnsi="Times New Roman" w:cs="Times New Roman"/>
          <w:sz w:val="26"/>
          <w:szCs w:val="26"/>
          <w:lang w:eastAsia="ru-RU"/>
        </w:rPr>
        <w:t xml:space="preserve">Методика расчета среднегодового контингента обучающихся № 599 устанавливает правила расчета среднегодового контингента обучающихся в государственных профессиональных образовательных организациях Архангельской области, находящихся в ведении министерства образования Архангельской области, по основным профессиональным образовательным программам среднего профессионального образования, основным образовательным программам профессионального обучения за счет бюджетных ассигнований областного бюджета, используемого </w:t>
      </w:r>
      <w:r w:rsidRPr="0090205E">
        <w:rPr>
          <w:rFonts w:ascii="Times New Roman" w:eastAsia="Times New Roman" w:hAnsi="Times New Roman" w:cs="Times New Roman"/>
          <w:sz w:val="26"/>
          <w:szCs w:val="26"/>
          <w:u w:val="single"/>
          <w:lang w:eastAsia="ru-RU"/>
        </w:rPr>
        <w:t>при формировании государственных заданий</w:t>
      </w:r>
      <w:r w:rsidRPr="0090205E">
        <w:rPr>
          <w:rFonts w:ascii="Times New Roman" w:eastAsia="Times New Roman" w:hAnsi="Times New Roman" w:cs="Times New Roman"/>
          <w:sz w:val="26"/>
          <w:szCs w:val="26"/>
          <w:lang w:eastAsia="ru-RU"/>
        </w:rPr>
        <w:t xml:space="preserve"> на оказание государственных услуг (выполнение работ), устанавливаемых профессиональным образовательным организациям на очередной финансовый год и плановый период.</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lang w:bidi="ru-RU"/>
        </w:rPr>
      </w:pPr>
      <w:r w:rsidRPr="0090205E">
        <w:rPr>
          <w:rFonts w:ascii="Times New Roman" w:eastAsia="Times New Roman" w:hAnsi="Times New Roman" w:cs="Times New Roman"/>
          <w:sz w:val="26"/>
          <w:szCs w:val="26"/>
        </w:rPr>
        <w:t xml:space="preserve">В соответствии со статьей </w:t>
      </w:r>
      <w:proofErr w:type="gramStart"/>
      <w:r w:rsidRPr="0090205E">
        <w:rPr>
          <w:rFonts w:ascii="Times New Roman" w:eastAsia="Times New Roman" w:hAnsi="Times New Roman" w:cs="Times New Roman"/>
          <w:sz w:val="26"/>
          <w:szCs w:val="26"/>
        </w:rPr>
        <w:t>69.2  БК</w:t>
      </w:r>
      <w:proofErr w:type="gramEnd"/>
      <w:r w:rsidRPr="0090205E">
        <w:rPr>
          <w:rFonts w:ascii="Times New Roman" w:eastAsia="Times New Roman" w:hAnsi="Times New Roman" w:cs="Times New Roman"/>
          <w:sz w:val="26"/>
          <w:szCs w:val="26"/>
        </w:rPr>
        <w:t xml:space="preserve"> РФ в государственном задании учредителем установлены показатели, характеризующие содержание, условия (формы) и объем государственных услуг, выполняемых работ. Показателями объема государственных услуг по реализации образовательных программ являются «Численность обучающихся», единицы измерения «человек». Таким образом, показатели объема государственных услуг, доведенные государственными зданиями до </w:t>
      </w:r>
      <w:r w:rsidRPr="0090205E">
        <w:rPr>
          <w:rFonts w:ascii="Times New Roman" w:eastAsia="Times New Roman" w:hAnsi="Times New Roman" w:cs="Times New Roman"/>
          <w:bCs/>
          <w:sz w:val="26"/>
          <w:szCs w:val="26"/>
        </w:rPr>
        <w:t xml:space="preserve">ГБПОУ АО «Архангельский государственный многопрофильный колледж», ГБПОУ АО </w:t>
      </w:r>
      <w:r w:rsidRPr="0090205E">
        <w:rPr>
          <w:rFonts w:ascii="Times New Roman" w:eastAsia="Times New Roman" w:hAnsi="Times New Roman" w:cs="Times New Roman"/>
          <w:sz w:val="26"/>
          <w:szCs w:val="26"/>
        </w:rPr>
        <w:t>«Архангельский педагогический колледж</w:t>
      </w:r>
      <w:r w:rsidRPr="0090205E">
        <w:rPr>
          <w:rFonts w:ascii="Times New Roman" w:eastAsia="Times New Roman" w:hAnsi="Times New Roman" w:cs="Times New Roman"/>
          <w:bCs/>
          <w:sz w:val="26"/>
          <w:szCs w:val="26"/>
        </w:rPr>
        <w:t xml:space="preserve">», </w:t>
      </w:r>
      <w:r w:rsidRPr="0090205E">
        <w:rPr>
          <w:rFonts w:ascii="Times New Roman" w:eastAsia="Times New Roman" w:hAnsi="Times New Roman" w:cs="Times New Roman"/>
          <w:sz w:val="26"/>
          <w:szCs w:val="26"/>
        </w:rPr>
        <w:t xml:space="preserve">определены в натуральной величине. </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rPr>
      </w:pPr>
      <w:proofErr w:type="gramStart"/>
      <w:r w:rsidRPr="0090205E">
        <w:rPr>
          <w:rFonts w:ascii="Times New Roman" w:eastAsia="Times New Roman" w:hAnsi="Times New Roman" w:cs="Times New Roman"/>
          <w:sz w:val="26"/>
          <w:szCs w:val="26"/>
        </w:rPr>
        <w:t>При проверки</w:t>
      </w:r>
      <w:proofErr w:type="gramEnd"/>
      <w:r w:rsidRPr="0090205E">
        <w:rPr>
          <w:rFonts w:ascii="Times New Roman" w:eastAsia="Times New Roman" w:hAnsi="Times New Roman" w:cs="Times New Roman"/>
          <w:sz w:val="26"/>
          <w:szCs w:val="26"/>
        </w:rPr>
        <w:t xml:space="preserve"> выполнения государственного задания, в том числе при проверке сведений, содержащихся в отчетах о выполнении государственных задний, установлено, что учреждениями при формировании отчетных данных о фактическом выполнении государственных заданий используется Методика расчета среднегодового контингента обучающихся № 599. Вместе с тем ни нормативно-правовыми актами, ни государственными заданиями, ни соглашениями о предоставлении средств субсидии на выполнение государственного задания не предусматривается применение Методики расчета среднегодового контингента обучающихся № 599 при формировании отчета о выполнении государственного задания. Указанное свидетельствует о занижении значения объема фактически выполненного государственного задания, поскольку в отчетах о выполнении </w:t>
      </w:r>
      <w:r w:rsidRPr="0090205E">
        <w:rPr>
          <w:rFonts w:ascii="Times New Roman" w:eastAsia="Times New Roman" w:hAnsi="Times New Roman" w:cs="Times New Roman"/>
          <w:sz w:val="26"/>
          <w:szCs w:val="26"/>
        </w:rPr>
        <w:lastRenderedPageBreak/>
        <w:t>государственного задания указывается среднегодовой контингент обучающихся за год при определении в государственном задании натуральной величины, выраженной в показателях «Численность обучающихся» и единицах «человек».</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rPr>
      </w:pPr>
      <w:r w:rsidRPr="0090205E">
        <w:rPr>
          <w:rFonts w:ascii="Times New Roman" w:eastAsia="Times New Roman" w:hAnsi="Times New Roman" w:cs="Times New Roman"/>
          <w:sz w:val="26"/>
          <w:szCs w:val="26"/>
        </w:rPr>
        <w:t xml:space="preserve">Более того, при отражении фактически выполненного государственного задания с применением Методики расчета среднегодового контингента обучающихся № 599 увеличивается риск совершения нарушения, выраженного в невыполнении государственного задания. Так, в связи с невыполнением </w:t>
      </w:r>
      <w:r w:rsidRPr="0090205E">
        <w:rPr>
          <w:rFonts w:ascii="Times New Roman" w:eastAsia="Times New Roman" w:hAnsi="Times New Roman" w:cs="Times New Roman"/>
          <w:bCs/>
          <w:sz w:val="26"/>
          <w:szCs w:val="26"/>
        </w:rPr>
        <w:t xml:space="preserve">ГБПОУ АО </w:t>
      </w:r>
      <w:r w:rsidRPr="0090205E">
        <w:rPr>
          <w:rFonts w:ascii="Times New Roman" w:eastAsia="Times New Roman" w:hAnsi="Times New Roman" w:cs="Times New Roman"/>
          <w:sz w:val="26"/>
          <w:szCs w:val="26"/>
        </w:rPr>
        <w:t>«Архангельский педагогический колледж</w:t>
      </w:r>
      <w:r w:rsidRPr="0090205E">
        <w:rPr>
          <w:rFonts w:ascii="Times New Roman" w:eastAsia="Times New Roman" w:hAnsi="Times New Roman" w:cs="Times New Roman"/>
          <w:bCs/>
          <w:sz w:val="26"/>
          <w:szCs w:val="26"/>
        </w:rPr>
        <w:t xml:space="preserve">» государственного задания (отчет </w:t>
      </w:r>
      <w:r w:rsidRPr="0090205E">
        <w:rPr>
          <w:rFonts w:ascii="Times New Roman" w:eastAsia="Times New Roman" w:hAnsi="Times New Roman" w:cs="Times New Roman"/>
          <w:sz w:val="26"/>
          <w:szCs w:val="26"/>
        </w:rPr>
        <w:t xml:space="preserve">о выполнении государственного задания за 2022 год от 18.01.2023, который выполнен с применением Методики расчета среднегодового контингента обучающихся №599) осуществлен возврат субсидии в сумме 282 215,88 руб. 06.02.2023, заявка на возврат № 159 по требованию о возврате средств субсидии на выполнение государственного задания за 2022 год в сумме 282 215,88 руб. (письмо министерства от 13.02.2023 №209\01ф-110\1381). </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rPr>
      </w:pPr>
      <w:proofErr w:type="gramStart"/>
      <w:r w:rsidRPr="0090205E">
        <w:rPr>
          <w:rFonts w:ascii="Times New Roman" w:eastAsia="Times New Roman" w:hAnsi="Times New Roman" w:cs="Times New Roman"/>
          <w:sz w:val="26"/>
          <w:szCs w:val="26"/>
        </w:rPr>
        <w:t>Кроме того</w:t>
      </w:r>
      <w:proofErr w:type="gramEnd"/>
      <w:r w:rsidRPr="0090205E">
        <w:rPr>
          <w:rFonts w:ascii="Times New Roman" w:eastAsia="Times New Roman" w:hAnsi="Times New Roman" w:cs="Times New Roman"/>
          <w:sz w:val="26"/>
          <w:szCs w:val="26"/>
        </w:rPr>
        <w:t xml:space="preserve"> в ходе проведенных мероприятий выявлено, что учреждениям доводятся </w:t>
      </w:r>
      <w:r w:rsidRPr="0090205E">
        <w:rPr>
          <w:rFonts w:ascii="Times New Roman" w:eastAsia="Times New Roman" w:hAnsi="Times New Roman" w:cs="Times New Roman"/>
          <w:bCs/>
          <w:sz w:val="26"/>
          <w:szCs w:val="26"/>
        </w:rPr>
        <w:t xml:space="preserve">контрольные цифры приема, которые учитываются </w:t>
      </w:r>
      <w:r w:rsidRPr="0090205E">
        <w:rPr>
          <w:rFonts w:ascii="Times New Roman" w:eastAsia="Times New Roman" w:hAnsi="Times New Roman" w:cs="Times New Roman"/>
          <w:sz w:val="26"/>
          <w:szCs w:val="26"/>
        </w:rPr>
        <w:t xml:space="preserve">Методикой расчета среднегодового контингента обучающихся № 599, при этом для расчета субсидии, предоставляемой для выполнения государственного задания, принимается объем среднегодового контингента, а не контрольных цифр приема. С учетом изложенного образовательные учреждения получают финансирование для реализации услуг </w:t>
      </w:r>
      <w:proofErr w:type="gramStart"/>
      <w:r w:rsidRPr="0090205E">
        <w:rPr>
          <w:rFonts w:ascii="Times New Roman" w:eastAsia="Times New Roman" w:hAnsi="Times New Roman" w:cs="Times New Roman"/>
          <w:sz w:val="26"/>
          <w:szCs w:val="26"/>
        </w:rPr>
        <w:t>в объеме</w:t>
      </w:r>
      <w:proofErr w:type="gramEnd"/>
      <w:r w:rsidRPr="0090205E">
        <w:rPr>
          <w:rFonts w:ascii="Times New Roman" w:eastAsia="Times New Roman" w:hAnsi="Times New Roman" w:cs="Times New Roman"/>
          <w:sz w:val="26"/>
          <w:szCs w:val="26"/>
        </w:rPr>
        <w:t xml:space="preserve"> определенном среднегодовым контингентом, при фактической реализации образовательных программ для объема обучающихся, соответствующего объему контрольных цифр приема. </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rPr>
      </w:pPr>
      <w:r w:rsidRPr="0090205E">
        <w:rPr>
          <w:rFonts w:ascii="Times New Roman" w:eastAsia="Times New Roman" w:hAnsi="Times New Roman" w:cs="Times New Roman"/>
          <w:sz w:val="26"/>
          <w:szCs w:val="26"/>
        </w:rPr>
        <w:t xml:space="preserve">Несмотря на то, что показатель объема государственной услуги по реализации образовательной программы «Численность обучающихся» является динамичным, что обусловлено движением в течение года контингента обучающихся по отдельным направлениям подготовки, укрупнением групп, отчислением, переводом, уходом в академический отпуск и т.д., в соответствии с утвержденными государственными заданиями, условиями заключенных соглашений о предоставлении субсидий на выполнение государственных задний отчетные данные о выполнении государственного задания должны отражаться учреждениями по фактическому контингенту численности обучающихся в единица человек. </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u w:val="single"/>
        </w:rPr>
      </w:pPr>
      <w:r w:rsidRPr="0090205E">
        <w:rPr>
          <w:rFonts w:ascii="Times New Roman" w:eastAsia="Times New Roman" w:hAnsi="Times New Roman" w:cs="Times New Roman"/>
          <w:sz w:val="26"/>
          <w:szCs w:val="26"/>
          <w:u w:val="single"/>
        </w:rPr>
        <w:t xml:space="preserve">С учетом изложенного в целях определения единого подхода к отчетности государственных </w:t>
      </w:r>
      <w:r w:rsidRPr="0090205E">
        <w:rPr>
          <w:rFonts w:ascii="Times New Roman" w:eastAsia="Times New Roman" w:hAnsi="Times New Roman" w:cs="Times New Roman"/>
          <w:bCs/>
          <w:sz w:val="26"/>
          <w:szCs w:val="26"/>
          <w:u w:val="single"/>
        </w:rPr>
        <w:t>бюджетных профессиональных образовательных учреждений</w:t>
      </w:r>
      <w:r w:rsidRPr="0090205E">
        <w:rPr>
          <w:rFonts w:ascii="Times New Roman" w:eastAsia="Times New Roman" w:hAnsi="Times New Roman" w:cs="Times New Roman"/>
          <w:sz w:val="26"/>
          <w:szCs w:val="26"/>
          <w:u w:val="single"/>
        </w:rPr>
        <w:t xml:space="preserve"> Архангельской области, подведомственных министерству образования Архангельской области, рекомендуем при формировании государственных заданий, при заключении соглашения о предоставлении субсидии на выполнение государственных заданий предусматривать в части требований к отчетности о выполнении государственного задания механизм исчисления показателей выполнения государственного задания и (или) довести до подведомственных учреждений порядок формирования количественных данных, включаемых в отчет о выполнении государственного задания. </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rPr>
      </w:pPr>
    </w:p>
    <w:p w:rsidR="0090205E" w:rsidRPr="0090205E" w:rsidRDefault="0090205E" w:rsidP="0090205E">
      <w:pPr>
        <w:widowControl w:val="0"/>
        <w:numPr>
          <w:ilvl w:val="0"/>
          <w:numId w:val="1"/>
        </w:numPr>
        <w:spacing w:after="0" w:line="310" w:lineRule="exact"/>
        <w:ind w:left="0" w:firstLine="709"/>
        <w:jc w:val="both"/>
        <w:rPr>
          <w:rFonts w:ascii="Times New Roman" w:eastAsia="Times New Roman" w:hAnsi="Times New Roman" w:cs="Times New Roman"/>
          <w:sz w:val="26"/>
          <w:szCs w:val="26"/>
          <w:shd w:val="clear" w:color="auto" w:fill="FFFFFF"/>
        </w:rPr>
      </w:pPr>
      <w:r w:rsidRPr="0090205E">
        <w:rPr>
          <w:rFonts w:ascii="Times New Roman" w:eastAsia="Times New Roman" w:hAnsi="Times New Roman" w:cs="Times New Roman"/>
          <w:sz w:val="26"/>
          <w:szCs w:val="26"/>
        </w:rPr>
        <w:t xml:space="preserve">По результатам проверки </w:t>
      </w:r>
      <w:r w:rsidRPr="0090205E">
        <w:rPr>
          <w:rFonts w:ascii="Times New Roman" w:eastAsia="Times New Roman" w:hAnsi="Times New Roman" w:cs="Times New Roman"/>
          <w:sz w:val="26"/>
          <w:szCs w:val="26"/>
          <w:shd w:val="clear" w:color="auto" w:fill="FFFFFF"/>
        </w:rPr>
        <w:t xml:space="preserve">использования средств субсидий на иные цели, не связанных с финансовым обеспечением выполнения государственного задания на оказание государственных услуг (выполнение работ) установлено следующее. </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rPr>
      </w:pPr>
      <w:r w:rsidRPr="0090205E">
        <w:rPr>
          <w:rFonts w:ascii="Times New Roman" w:eastAsia="Times New Roman" w:hAnsi="Times New Roman" w:cs="Times New Roman"/>
          <w:sz w:val="26"/>
          <w:szCs w:val="26"/>
        </w:rPr>
        <w:lastRenderedPageBreak/>
        <w:t xml:space="preserve">Министерством образования Архангельской области на основании соглашений с </w:t>
      </w:r>
      <w:r w:rsidRPr="0090205E">
        <w:rPr>
          <w:rFonts w:ascii="Times New Roman" w:eastAsia="Times New Roman" w:hAnsi="Times New Roman" w:cs="Times New Roman"/>
          <w:bCs/>
          <w:sz w:val="26"/>
          <w:szCs w:val="26"/>
        </w:rPr>
        <w:t xml:space="preserve">государственными бюджетными профессиональными образовательными учреждениями предоставляются </w:t>
      </w:r>
      <w:r w:rsidRPr="0090205E">
        <w:rPr>
          <w:rFonts w:ascii="Times New Roman" w:eastAsia="Times New Roman" w:hAnsi="Times New Roman" w:cs="Times New Roman"/>
          <w:sz w:val="26"/>
          <w:szCs w:val="26"/>
        </w:rPr>
        <w:t>средства субсидии на иные цели на обеспечение выплат ежемесячного денежного вознаграждения (далее – ЕДВ) за классное руководство (кураторство) педагогическим работникам государственных организаций среднего профессионального образования,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shd w:val="clear" w:color="auto" w:fill="FFFFFF"/>
          <w:lang w:bidi="ru-RU"/>
        </w:rPr>
      </w:pPr>
      <w:r w:rsidRPr="0090205E">
        <w:rPr>
          <w:rFonts w:ascii="Times New Roman" w:eastAsia="Times New Roman" w:hAnsi="Times New Roman" w:cs="Times New Roman"/>
          <w:bCs/>
          <w:sz w:val="26"/>
          <w:szCs w:val="26"/>
        </w:rPr>
        <w:t>Государственными бюджетными профессиональными образовательными учреждениями</w:t>
      </w:r>
      <w:r w:rsidRPr="0090205E">
        <w:rPr>
          <w:rFonts w:ascii="Times New Roman" w:eastAsia="Times New Roman" w:hAnsi="Times New Roman" w:cs="Times New Roman"/>
          <w:sz w:val="26"/>
          <w:szCs w:val="26"/>
        </w:rPr>
        <w:t xml:space="preserve"> в нарушение пункта 1 статьи 78.1 БК РФ, пунктов 4, 6 Порядка предоставления субсидии для выплат ЕДВ № 463-пп</w:t>
      </w:r>
      <w:r w:rsidRPr="0090205E">
        <w:rPr>
          <w:rFonts w:ascii="Times New Roman" w:eastAsia="Times New Roman" w:hAnsi="Times New Roman" w:cs="Times New Roman"/>
          <w:sz w:val="26"/>
          <w:szCs w:val="26"/>
          <w:vertAlign w:val="superscript"/>
        </w:rPr>
        <w:footnoteReference w:id="2"/>
      </w:r>
      <w:r w:rsidRPr="0090205E">
        <w:rPr>
          <w:rFonts w:ascii="Times New Roman" w:eastAsia="Times New Roman" w:hAnsi="Times New Roman" w:cs="Times New Roman"/>
          <w:sz w:val="26"/>
          <w:szCs w:val="26"/>
        </w:rPr>
        <w:t>, подпункта 1 пункта 2 Порядка по субсидиям на иные цели № 369-пп</w:t>
      </w:r>
      <w:r w:rsidRPr="0090205E">
        <w:rPr>
          <w:rFonts w:ascii="Times New Roman" w:eastAsia="Times New Roman" w:hAnsi="Times New Roman" w:cs="Times New Roman"/>
          <w:sz w:val="26"/>
          <w:szCs w:val="26"/>
          <w:vertAlign w:val="superscript"/>
        </w:rPr>
        <w:footnoteReference w:id="3"/>
      </w:r>
      <w:r w:rsidRPr="0090205E">
        <w:rPr>
          <w:rFonts w:ascii="Times New Roman" w:eastAsia="Times New Roman" w:hAnsi="Times New Roman" w:cs="Times New Roman"/>
          <w:sz w:val="26"/>
          <w:szCs w:val="26"/>
        </w:rPr>
        <w:t xml:space="preserve">, пункта 35 Порядка формирования </w:t>
      </w:r>
      <w:proofErr w:type="spellStart"/>
      <w:r w:rsidRPr="0090205E">
        <w:rPr>
          <w:rFonts w:ascii="Times New Roman" w:eastAsia="Times New Roman" w:hAnsi="Times New Roman" w:cs="Times New Roman"/>
          <w:sz w:val="26"/>
          <w:szCs w:val="26"/>
        </w:rPr>
        <w:t>госзаданий</w:t>
      </w:r>
      <w:proofErr w:type="spellEnd"/>
      <w:r w:rsidRPr="0090205E">
        <w:rPr>
          <w:rFonts w:ascii="Times New Roman" w:eastAsia="Times New Roman" w:hAnsi="Times New Roman" w:cs="Times New Roman"/>
          <w:sz w:val="26"/>
          <w:szCs w:val="26"/>
        </w:rPr>
        <w:t xml:space="preserve"> № 338-пп в период 2022-2023 годов за счет средств субсидии на выполнение государственного задания с учетом сумм ЕДВ за классное руководство производились выплаты заработной платы сотрудникам учреждения за период их нахождения в командировках, выплаты пособий по временной нетрудоспособности, что свидетельствует о нарушении соглашений о предоставлении субсидии на выполнение государственного задания, соглашений о предоставлении субсидий на иные цели.</w:t>
      </w:r>
    </w:p>
    <w:p w:rsidR="0090205E" w:rsidRPr="0090205E" w:rsidRDefault="0090205E" w:rsidP="0090205E">
      <w:pPr>
        <w:widowControl w:val="0"/>
        <w:spacing w:after="0" w:line="310" w:lineRule="exact"/>
        <w:ind w:firstLine="709"/>
        <w:jc w:val="both"/>
        <w:rPr>
          <w:rFonts w:ascii="Times New Roman" w:eastAsia="Calibri" w:hAnsi="Times New Roman" w:cs="Times New Roman"/>
          <w:sz w:val="26"/>
          <w:szCs w:val="26"/>
        </w:rPr>
      </w:pPr>
      <w:r w:rsidRPr="0090205E">
        <w:rPr>
          <w:rFonts w:ascii="Times New Roman" w:eastAsia="Times New Roman" w:hAnsi="Times New Roman" w:cs="Times New Roman"/>
          <w:sz w:val="26"/>
          <w:szCs w:val="26"/>
        </w:rPr>
        <w:t xml:space="preserve">Предоставление субсидий на обеспечение выплат ЕДВ </w:t>
      </w:r>
      <w:r w:rsidRPr="0090205E">
        <w:rPr>
          <w:rFonts w:ascii="Times New Roman" w:eastAsia="Times New Roman" w:hAnsi="Times New Roman" w:cs="Times New Roman"/>
          <w:bCs/>
          <w:sz w:val="26"/>
          <w:szCs w:val="26"/>
        </w:rPr>
        <w:t>государственными бюджетными профессиональными образовательными учреждениями</w:t>
      </w:r>
      <w:r w:rsidRPr="0090205E">
        <w:rPr>
          <w:rFonts w:ascii="Times New Roman" w:eastAsia="Times New Roman" w:hAnsi="Times New Roman" w:cs="Times New Roman"/>
          <w:sz w:val="26"/>
          <w:szCs w:val="26"/>
        </w:rPr>
        <w:t xml:space="preserve"> осуществляется в рамках реализации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lang w:eastAsia="ru-RU"/>
        </w:rPr>
      </w:pPr>
      <w:r w:rsidRPr="0090205E">
        <w:rPr>
          <w:rFonts w:ascii="Times New Roman" w:eastAsia="Times New Roman" w:hAnsi="Times New Roman" w:cs="Times New Roman"/>
          <w:sz w:val="26"/>
          <w:szCs w:val="26"/>
        </w:rPr>
        <w:t>Помимо предоставления субсидий подведомственным бюджетным учреждениям министерство образования Архангельской области осуществляет предоставление субвенций местным бюджетам муниципальных районов, городских округов, муниципальных округов Архангельской области на обеспечение выплат ежемесячного денежного вознаграждения за классное руководство педагогическим работникам. Методика расчёта субвенции определена приложением 3 Закона Архангельской области от 2 июля 2013 года № 712-41-ОЗ «Об образовании в Архангельской области».</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rPr>
      </w:pPr>
      <w:r w:rsidRPr="0090205E">
        <w:rPr>
          <w:rFonts w:ascii="Times New Roman" w:eastAsia="Times New Roman" w:hAnsi="Times New Roman" w:cs="Times New Roman"/>
          <w:sz w:val="26"/>
          <w:szCs w:val="26"/>
        </w:rPr>
        <w:lastRenderedPageBreak/>
        <w:t xml:space="preserve">В силу части 7 статьи 50 областного Закона от 2 июля 2013 года № 712-41-ОЗ, пункта 3 </w:t>
      </w:r>
      <w:r w:rsidRPr="0090205E">
        <w:rPr>
          <w:rFonts w:ascii="Times New Roman" w:eastAsia="Calibri" w:hAnsi="Times New Roman" w:cs="Times New Roman"/>
          <w:sz w:val="26"/>
          <w:szCs w:val="26"/>
        </w:rPr>
        <w:t>Порядка предоставления субсидии для выплат ЕДВ от 12.10.2012 № 463-пп</w:t>
      </w:r>
      <w:r w:rsidRPr="0090205E">
        <w:rPr>
          <w:rFonts w:ascii="Times New Roman" w:eastAsia="Times New Roman" w:hAnsi="Times New Roman" w:cs="Times New Roman"/>
          <w:sz w:val="26"/>
          <w:szCs w:val="26"/>
        </w:rPr>
        <w:t xml:space="preserve"> как субвенции местным бюджетам, так и субсидий бюджетным учреждениям Архангельской области предоставляются на основании методик расчета, установленных на федеральном уровне постановлениями Правительства Российской Федерации от 21 декабря 2021 года № 2382 и от 29 декабря 2021 года № 2539. </w:t>
      </w:r>
    </w:p>
    <w:p w:rsidR="0090205E" w:rsidRPr="0090205E" w:rsidRDefault="0090205E" w:rsidP="0090205E">
      <w:pPr>
        <w:widowControl w:val="0"/>
        <w:spacing w:after="0" w:line="310" w:lineRule="exact"/>
        <w:ind w:firstLine="709"/>
        <w:jc w:val="both"/>
        <w:rPr>
          <w:rFonts w:ascii="Times New Roman" w:eastAsia="Calibri" w:hAnsi="Times New Roman" w:cs="Times New Roman"/>
          <w:sz w:val="26"/>
          <w:szCs w:val="26"/>
        </w:rPr>
      </w:pPr>
      <w:r w:rsidRPr="0090205E">
        <w:rPr>
          <w:rFonts w:ascii="Times New Roman" w:eastAsia="Times New Roman" w:hAnsi="Times New Roman" w:cs="Times New Roman"/>
          <w:bCs/>
          <w:sz w:val="26"/>
          <w:szCs w:val="26"/>
        </w:rPr>
        <w:t xml:space="preserve">Пунктами 2 Правил </w:t>
      </w:r>
      <w:r w:rsidRPr="0090205E">
        <w:rPr>
          <w:rFonts w:ascii="Times New Roman" w:eastAsia="Calibri" w:hAnsi="Times New Roman" w:cs="Times New Roman"/>
          <w:sz w:val="26"/>
          <w:szCs w:val="26"/>
        </w:rPr>
        <w:t xml:space="preserve">предоставления </w:t>
      </w:r>
      <w:r w:rsidRPr="0090205E">
        <w:rPr>
          <w:rFonts w:ascii="Times New Roman" w:eastAsia="Times New Roman" w:hAnsi="Times New Roman" w:cs="Times New Roman"/>
          <w:sz w:val="26"/>
          <w:szCs w:val="26"/>
        </w:rPr>
        <w:t>ИМТ об обеспечении выплат ЕДВ от 21.12.2021 № 2382</w:t>
      </w:r>
      <w:r w:rsidRPr="0090205E">
        <w:rPr>
          <w:rFonts w:ascii="Times New Roman" w:eastAsia="Times New Roman" w:hAnsi="Times New Roman" w:cs="Times New Roman"/>
          <w:sz w:val="26"/>
          <w:szCs w:val="26"/>
          <w:vertAlign w:val="superscript"/>
        </w:rPr>
        <w:footnoteReference w:id="4"/>
      </w:r>
      <w:r w:rsidRPr="0090205E">
        <w:rPr>
          <w:rFonts w:ascii="Times New Roman" w:eastAsia="Times New Roman" w:hAnsi="Times New Roman" w:cs="Times New Roman"/>
          <w:sz w:val="26"/>
          <w:szCs w:val="26"/>
        </w:rPr>
        <w:t xml:space="preserve"> и от 29.12.2021 № 2539</w:t>
      </w:r>
      <w:r w:rsidRPr="0090205E">
        <w:rPr>
          <w:rFonts w:ascii="Times New Roman" w:eastAsia="Times New Roman" w:hAnsi="Times New Roman" w:cs="Times New Roman"/>
          <w:sz w:val="26"/>
          <w:szCs w:val="26"/>
          <w:vertAlign w:val="superscript"/>
        </w:rPr>
        <w:footnoteReference w:id="5"/>
      </w:r>
      <w:r w:rsidRPr="0090205E">
        <w:rPr>
          <w:rFonts w:ascii="Times New Roman" w:eastAsia="Times New Roman" w:hAnsi="Times New Roman" w:cs="Times New Roman"/>
          <w:sz w:val="26"/>
          <w:szCs w:val="26"/>
        </w:rPr>
        <w:t xml:space="preserve"> предусматривается, что иные межбюджетные трансферты предоставляются в целях </w:t>
      </w:r>
      <w:proofErr w:type="spellStart"/>
      <w:r w:rsidRPr="0090205E">
        <w:rPr>
          <w:rFonts w:ascii="Times New Roman" w:eastAsia="Times New Roman" w:hAnsi="Times New Roman" w:cs="Times New Roman"/>
          <w:sz w:val="26"/>
          <w:szCs w:val="26"/>
        </w:rPr>
        <w:t>софинансирования</w:t>
      </w:r>
      <w:proofErr w:type="spellEnd"/>
      <w:r w:rsidRPr="0090205E">
        <w:rPr>
          <w:rFonts w:ascii="Times New Roman" w:eastAsia="Times New Roman" w:hAnsi="Times New Roman" w:cs="Times New Roman"/>
          <w:sz w:val="26"/>
          <w:szCs w:val="26"/>
        </w:rPr>
        <w:t xml:space="preserve"> в полном объеме расходных обязательств субъектов Российской Федерации и г. Байконура по финансовому обеспечению выплат ежемесячного денежного вознаграждения за классное руководство педагогическим работникам образовательных организаций из расчета 5 000 руб./10 000 руб. в месяц,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районных коэффициентов к заработной плате, за работу с особыми климатическими условиями и процентной надбавки к заработной плате за стаж работы в районах с особыми климатическими условиями, включая выплату части отпускных, начисленной с суммы выплаченного вознаграждения, учтенного в расчете средней заработной платы.</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lang w:eastAsia="ru-RU"/>
        </w:rPr>
      </w:pPr>
      <w:r w:rsidRPr="0090205E">
        <w:rPr>
          <w:rFonts w:ascii="Times New Roman" w:eastAsia="Times New Roman" w:hAnsi="Times New Roman" w:cs="Times New Roman"/>
          <w:sz w:val="26"/>
          <w:szCs w:val="26"/>
        </w:rPr>
        <w:t>В соответствии со статьей 139 ТК РФ, пунктом 2 Положения об особенностях исчисления средней заработной платы, утвержденного постановлением Правительства Российской Федерации от 24.12.2007 № 922, при расчете среднего заработка для всех случаев его определения учитываются все предусмотренные системой оплаты труда выплаты, применяемые в соответствующей организации независимо от источников этих выплат.</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rPr>
      </w:pPr>
      <w:r w:rsidRPr="0090205E">
        <w:rPr>
          <w:rFonts w:ascii="Times New Roman" w:eastAsia="Times New Roman" w:hAnsi="Times New Roman" w:cs="Times New Roman"/>
          <w:sz w:val="26"/>
          <w:szCs w:val="26"/>
        </w:rPr>
        <w:t xml:space="preserve">Ежемесячное денежное вознаграждение за классное руководство педагогическим работникам образовательных организаций является составной частью заработной платы и включается в расчет среднего заработка, что подтверждается разъяснениями </w:t>
      </w:r>
      <w:proofErr w:type="spellStart"/>
      <w:r w:rsidRPr="0090205E">
        <w:rPr>
          <w:rFonts w:ascii="Times New Roman" w:eastAsia="Times New Roman" w:hAnsi="Times New Roman" w:cs="Times New Roman"/>
          <w:sz w:val="26"/>
          <w:szCs w:val="26"/>
        </w:rPr>
        <w:t>Минпросвещения</w:t>
      </w:r>
      <w:proofErr w:type="spellEnd"/>
      <w:r w:rsidRPr="0090205E">
        <w:rPr>
          <w:rFonts w:ascii="Times New Roman" w:eastAsia="Times New Roman" w:hAnsi="Times New Roman" w:cs="Times New Roman"/>
          <w:sz w:val="26"/>
          <w:szCs w:val="26"/>
        </w:rPr>
        <w:t xml:space="preserve"> России (пункт 9 информационного письма </w:t>
      </w:r>
      <w:proofErr w:type="spellStart"/>
      <w:r w:rsidRPr="0090205E">
        <w:rPr>
          <w:rFonts w:ascii="Times New Roman" w:eastAsia="Times New Roman" w:hAnsi="Times New Roman" w:cs="Times New Roman"/>
          <w:sz w:val="26"/>
          <w:szCs w:val="26"/>
        </w:rPr>
        <w:t>Минпросвещения</w:t>
      </w:r>
      <w:proofErr w:type="spellEnd"/>
      <w:r w:rsidRPr="0090205E">
        <w:rPr>
          <w:rFonts w:ascii="Times New Roman" w:eastAsia="Times New Roman" w:hAnsi="Times New Roman" w:cs="Times New Roman"/>
          <w:sz w:val="26"/>
          <w:szCs w:val="26"/>
        </w:rPr>
        <w:t xml:space="preserve"> России от 06.12.2023 № АБ-5037/05, </w:t>
      </w:r>
      <w:r w:rsidRPr="0090205E">
        <w:rPr>
          <w:rFonts w:ascii="Times New Roman" w:eastAsia="Times New Roman" w:hAnsi="Times New Roman" w:cs="Times New Roman"/>
          <w:sz w:val="26"/>
          <w:szCs w:val="26"/>
        </w:rPr>
        <w:lastRenderedPageBreak/>
        <w:t xml:space="preserve">пункты 8, 9 информационного письма </w:t>
      </w:r>
      <w:proofErr w:type="spellStart"/>
      <w:r w:rsidRPr="0090205E">
        <w:rPr>
          <w:rFonts w:ascii="Times New Roman" w:eastAsia="Times New Roman" w:hAnsi="Times New Roman" w:cs="Times New Roman"/>
          <w:sz w:val="26"/>
          <w:szCs w:val="26"/>
        </w:rPr>
        <w:t>Минпросвещения</w:t>
      </w:r>
      <w:proofErr w:type="spellEnd"/>
      <w:r w:rsidRPr="0090205E">
        <w:rPr>
          <w:rFonts w:ascii="Times New Roman" w:eastAsia="Times New Roman" w:hAnsi="Times New Roman" w:cs="Times New Roman"/>
          <w:sz w:val="26"/>
          <w:szCs w:val="26"/>
        </w:rPr>
        <w:t xml:space="preserve"> России от 07.09.2020 N ВБ-1700/08).</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rPr>
      </w:pPr>
      <w:r w:rsidRPr="0090205E">
        <w:rPr>
          <w:rFonts w:ascii="Times New Roman" w:eastAsia="Times New Roman" w:hAnsi="Times New Roman" w:cs="Times New Roman"/>
          <w:sz w:val="26"/>
          <w:szCs w:val="26"/>
        </w:rPr>
        <w:t xml:space="preserve">Величина средней заработной платы (среднего заработка) используется работодателями для подсчёта разных выплат: отпускных, компенсаций при обучении или прохождении курсов повышения квалификации, на время медосмотра, за неиспользованный отпуск при увольнении, командировочных, выходных пособий, пособий по временной нетрудоспособности и т.д. </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rPr>
      </w:pPr>
      <w:r w:rsidRPr="0090205E">
        <w:rPr>
          <w:rFonts w:ascii="Times New Roman" w:eastAsia="Times New Roman" w:hAnsi="Times New Roman" w:cs="Times New Roman"/>
          <w:sz w:val="26"/>
          <w:szCs w:val="26"/>
        </w:rPr>
        <w:t xml:space="preserve">Несмотря на то, что </w:t>
      </w:r>
      <w:r w:rsidRPr="0090205E">
        <w:rPr>
          <w:rFonts w:ascii="Times New Roman" w:eastAsia="Times New Roman" w:hAnsi="Times New Roman" w:cs="Times New Roman"/>
          <w:bCs/>
          <w:sz w:val="26"/>
          <w:szCs w:val="26"/>
        </w:rPr>
        <w:t xml:space="preserve">Правилами </w:t>
      </w:r>
      <w:r w:rsidRPr="0090205E">
        <w:rPr>
          <w:rFonts w:ascii="Times New Roman" w:eastAsia="Calibri" w:hAnsi="Times New Roman" w:cs="Times New Roman"/>
          <w:sz w:val="26"/>
          <w:szCs w:val="26"/>
        </w:rPr>
        <w:t xml:space="preserve">предоставления </w:t>
      </w:r>
      <w:r w:rsidRPr="0090205E">
        <w:rPr>
          <w:rFonts w:ascii="Times New Roman" w:eastAsia="Times New Roman" w:hAnsi="Times New Roman" w:cs="Times New Roman"/>
          <w:sz w:val="26"/>
          <w:szCs w:val="26"/>
        </w:rPr>
        <w:t xml:space="preserve">ИМТ об обеспечении выплат ЕДВ от 21.12.2021 № 2382 и от 29.12.2021 № 2539 предусматривается, что иные межбюджетные трансферты предоставляются в целях </w:t>
      </w:r>
      <w:proofErr w:type="spellStart"/>
      <w:r w:rsidRPr="0090205E">
        <w:rPr>
          <w:rFonts w:ascii="Times New Roman" w:eastAsia="Times New Roman" w:hAnsi="Times New Roman" w:cs="Times New Roman"/>
          <w:sz w:val="26"/>
          <w:szCs w:val="26"/>
        </w:rPr>
        <w:t>софинансирования</w:t>
      </w:r>
      <w:proofErr w:type="spellEnd"/>
      <w:r w:rsidRPr="0090205E">
        <w:rPr>
          <w:rFonts w:ascii="Times New Roman" w:eastAsia="Times New Roman" w:hAnsi="Times New Roman" w:cs="Times New Roman"/>
          <w:sz w:val="26"/>
          <w:szCs w:val="26"/>
        </w:rPr>
        <w:t xml:space="preserve"> </w:t>
      </w:r>
      <w:r w:rsidRPr="0090205E">
        <w:rPr>
          <w:rFonts w:ascii="Times New Roman" w:eastAsia="Times New Roman" w:hAnsi="Times New Roman" w:cs="Times New Roman"/>
          <w:sz w:val="26"/>
          <w:szCs w:val="26"/>
          <w:u w:val="single"/>
        </w:rPr>
        <w:t xml:space="preserve">в полном объеме </w:t>
      </w:r>
      <w:r w:rsidRPr="0090205E">
        <w:rPr>
          <w:rFonts w:ascii="Times New Roman" w:eastAsia="Times New Roman" w:hAnsi="Times New Roman" w:cs="Times New Roman"/>
          <w:sz w:val="26"/>
          <w:szCs w:val="26"/>
        </w:rPr>
        <w:t>расходных обязательств субъектов Российской Федерации и г. Байконура по финансовому обеспечению выплат ЕДВ за классное руководство, напрямую оговорены выплаты в виде отчислений по социальному страхованию, выплат районных коэффициентов и процентной надбавки к заработной плате, выплат части отпускных, начисленных с суммы выплаченного вознаграждения, учтенного в расчете средней заработной платы.</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lang w:bidi="ru-RU"/>
        </w:rPr>
      </w:pPr>
      <w:r w:rsidRPr="0090205E">
        <w:rPr>
          <w:rFonts w:ascii="Times New Roman" w:eastAsia="Times New Roman" w:hAnsi="Times New Roman" w:cs="Times New Roman"/>
          <w:sz w:val="26"/>
          <w:szCs w:val="26"/>
        </w:rPr>
        <w:t xml:space="preserve">Приминая во внимание разъяснения департамента развития инфраструктуры </w:t>
      </w:r>
      <w:proofErr w:type="spellStart"/>
      <w:r w:rsidRPr="0090205E">
        <w:rPr>
          <w:rFonts w:ascii="Times New Roman" w:eastAsia="Times New Roman" w:hAnsi="Times New Roman" w:cs="Times New Roman"/>
          <w:sz w:val="26"/>
          <w:szCs w:val="26"/>
        </w:rPr>
        <w:t>Минпросвещения</w:t>
      </w:r>
      <w:proofErr w:type="spellEnd"/>
      <w:r w:rsidRPr="0090205E">
        <w:rPr>
          <w:rFonts w:ascii="Times New Roman" w:eastAsia="Times New Roman" w:hAnsi="Times New Roman" w:cs="Times New Roman"/>
          <w:sz w:val="26"/>
          <w:szCs w:val="26"/>
        </w:rPr>
        <w:t xml:space="preserve"> России от 12.04.2023 № 09-278, направленные в адрес министерства образования Архангельской области на запрос от 05.04.2023 № 209/01ф07/3523, указывающие на то, что вопрос обеспечения иных расходов, начисленных на выплату за классное руководство при исчислении среднего заработка (пособия при временной нетрудоспособности, по беременности и родам, период обучения работников, направленных на курсы повышения квалификации и др.) должны решаться за счет бюджета субъекта Российской Федерации и местных бюджетов, полагаем, что вопрос финансирования разницы в увеличении расходов по выплатам, связанным с начислением ежемесячных денежных вознаграждений педагогическим работникам за классное руководство (кураторство), относится к полномочиям органов государственной власти Архангельской области и должно осуществляться за счет бюджетных средств, предоставленных в форме субсидии. </w:t>
      </w:r>
    </w:p>
    <w:p w:rsidR="0090205E" w:rsidRPr="0090205E" w:rsidRDefault="0090205E" w:rsidP="0090205E">
      <w:pPr>
        <w:widowControl w:val="0"/>
        <w:spacing w:after="0" w:line="310" w:lineRule="exact"/>
        <w:ind w:firstLine="709"/>
        <w:jc w:val="both"/>
        <w:rPr>
          <w:rFonts w:ascii="Times New Roman" w:eastAsia="Times New Roman" w:hAnsi="Times New Roman" w:cs="Times New Roman"/>
          <w:sz w:val="26"/>
          <w:szCs w:val="26"/>
        </w:rPr>
      </w:pPr>
      <w:r w:rsidRPr="0090205E">
        <w:rPr>
          <w:rFonts w:ascii="Times New Roman" w:eastAsia="Times New Roman" w:hAnsi="Times New Roman" w:cs="Times New Roman"/>
          <w:sz w:val="26"/>
          <w:szCs w:val="26"/>
        </w:rPr>
        <w:t xml:space="preserve">Вместе с тем согласно </w:t>
      </w:r>
      <w:hyperlink r:id="rId7" w:history="1">
        <w:r w:rsidRPr="0090205E">
          <w:rPr>
            <w:rFonts w:ascii="Times New Roman" w:eastAsia="Times New Roman" w:hAnsi="Times New Roman" w:cs="Times New Roman"/>
            <w:color w:val="0563C1" w:themeColor="hyperlink"/>
            <w:sz w:val="26"/>
            <w:szCs w:val="26"/>
            <w:u w:val="single"/>
          </w:rPr>
          <w:t>пункту 35</w:t>
        </w:r>
      </w:hyperlink>
      <w:r w:rsidRPr="0090205E">
        <w:rPr>
          <w:rFonts w:ascii="Times New Roman" w:eastAsia="Times New Roman" w:hAnsi="Times New Roman" w:cs="Times New Roman"/>
          <w:sz w:val="26"/>
          <w:szCs w:val="26"/>
        </w:rPr>
        <w:t xml:space="preserve"> Порядка формирования </w:t>
      </w:r>
      <w:proofErr w:type="spellStart"/>
      <w:r w:rsidRPr="0090205E">
        <w:rPr>
          <w:rFonts w:ascii="Times New Roman" w:eastAsia="Times New Roman" w:hAnsi="Times New Roman" w:cs="Times New Roman"/>
          <w:sz w:val="26"/>
          <w:szCs w:val="26"/>
        </w:rPr>
        <w:t>госзаданий</w:t>
      </w:r>
      <w:proofErr w:type="spellEnd"/>
      <w:r w:rsidRPr="0090205E">
        <w:rPr>
          <w:rFonts w:ascii="Times New Roman" w:eastAsia="Times New Roman" w:hAnsi="Times New Roman" w:cs="Times New Roman"/>
          <w:sz w:val="26"/>
          <w:szCs w:val="26"/>
        </w:rPr>
        <w:t xml:space="preserve"> № 338-пп в состав затрат, включаемых в расчет объема финансового обеспечения выполнения государственного задания, не подлежат включению затраты, обеспечиваемые за счет субсидий из областного бюджета на иные цели, не связанные с финансовым обеспечением выполнения государственного задания.</w:t>
      </w:r>
    </w:p>
    <w:p w:rsidR="0090205E" w:rsidRPr="0090205E" w:rsidRDefault="0090205E" w:rsidP="0090205E">
      <w:pPr>
        <w:widowControl w:val="0"/>
        <w:spacing w:after="0" w:line="240" w:lineRule="auto"/>
        <w:ind w:firstLine="709"/>
        <w:jc w:val="both"/>
        <w:rPr>
          <w:rFonts w:ascii="Times New Roman" w:eastAsia="Times New Roman" w:hAnsi="Times New Roman" w:cs="Times New Roman"/>
          <w:sz w:val="26"/>
          <w:szCs w:val="26"/>
          <w:u w:val="single"/>
        </w:rPr>
      </w:pPr>
      <w:r w:rsidRPr="0090205E">
        <w:rPr>
          <w:rFonts w:ascii="Times New Roman" w:eastAsia="Times New Roman" w:hAnsi="Times New Roman" w:cs="Times New Roman"/>
          <w:sz w:val="26"/>
          <w:szCs w:val="26"/>
        </w:rPr>
        <w:t>С учетом изложенного, в целях формирования единообразного подхода к использованию межбюджетного трансферта, предоставляемого Архангельской области в целях финансового обеспечения выплат ежемесячного денежного вознаграждения за классное руководство как при предоставлении субвенции местным бюджетам, так и при предоставлении субсидий бюджетным учреждениям Архангельской области, и в целях устранения нарушений, связанных с применением норм, регулирующих источник финансового обеспечения выплата, производимых с учетом начисления сумм выплаченного вознаграждения за классное руководство, учтенного в расчете средней заработной платы, а также принимая во внимание судебную практику</w:t>
      </w:r>
      <w:r w:rsidRPr="0090205E">
        <w:rPr>
          <w:rFonts w:ascii="Times New Roman" w:eastAsia="Times New Roman" w:hAnsi="Times New Roman" w:cs="Times New Roman"/>
          <w:sz w:val="26"/>
          <w:szCs w:val="26"/>
          <w:vertAlign w:val="superscript"/>
        </w:rPr>
        <w:footnoteReference w:id="6"/>
      </w:r>
      <w:r w:rsidRPr="0090205E">
        <w:rPr>
          <w:rFonts w:ascii="Times New Roman" w:eastAsia="Times New Roman" w:hAnsi="Times New Roman" w:cs="Times New Roman"/>
          <w:sz w:val="26"/>
          <w:szCs w:val="26"/>
        </w:rPr>
        <w:t xml:space="preserve"> и возможную заинтересованность в решении вопросов финансирования со стороны министерства культуры Архангельской области и </w:t>
      </w:r>
      <w:r w:rsidRPr="0090205E">
        <w:rPr>
          <w:rFonts w:ascii="Times New Roman" w:eastAsia="Times New Roman" w:hAnsi="Times New Roman" w:cs="Times New Roman"/>
          <w:sz w:val="26"/>
          <w:szCs w:val="26"/>
        </w:rPr>
        <w:lastRenderedPageBreak/>
        <w:t xml:space="preserve">министерства здравоохранения Архангельской области, с учетом компетенции министерства образования Архангельской области </w:t>
      </w:r>
      <w:r w:rsidRPr="0090205E">
        <w:rPr>
          <w:rFonts w:ascii="Times New Roman" w:eastAsia="Times New Roman" w:hAnsi="Times New Roman" w:cs="Times New Roman"/>
          <w:sz w:val="26"/>
          <w:szCs w:val="26"/>
          <w:u w:val="single"/>
        </w:rPr>
        <w:t>рекомендуем выработать согласованную позицию по вопросу использования иного межбюджетного трансфера, направить разъяснения подведомственным учреждениям, органам местного самоуправления об осуществлении выплат на ежемесячное денежное вознаграждение за классное руководство (кураторство) педагогическим работникам, в том числе о порядке выплат, производимых с учетом начисления сумм выплаченного вознаграждения за классное руководство, учтенного в расчете средней заработной платы.</w:t>
      </w:r>
    </w:p>
    <w:p w:rsidR="00CA0A7C" w:rsidRDefault="00CA0A7C">
      <w:bookmarkStart w:id="0" w:name="_GoBack"/>
      <w:bookmarkEnd w:id="0"/>
    </w:p>
    <w:sectPr w:rsidR="00CA0A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375" w:rsidRDefault="00E95375" w:rsidP="0090205E">
      <w:pPr>
        <w:spacing w:after="0" w:line="240" w:lineRule="auto"/>
      </w:pPr>
      <w:r>
        <w:separator/>
      </w:r>
    </w:p>
  </w:endnote>
  <w:endnote w:type="continuationSeparator" w:id="0">
    <w:p w:rsidR="00E95375" w:rsidRDefault="00E95375" w:rsidP="0090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375" w:rsidRDefault="00E95375" w:rsidP="0090205E">
      <w:pPr>
        <w:spacing w:after="0" w:line="240" w:lineRule="auto"/>
      </w:pPr>
      <w:r>
        <w:separator/>
      </w:r>
    </w:p>
  </w:footnote>
  <w:footnote w:type="continuationSeparator" w:id="0">
    <w:p w:rsidR="00E95375" w:rsidRDefault="00E95375" w:rsidP="0090205E">
      <w:pPr>
        <w:spacing w:after="0" w:line="240" w:lineRule="auto"/>
      </w:pPr>
      <w:r>
        <w:continuationSeparator/>
      </w:r>
    </w:p>
  </w:footnote>
  <w:footnote w:id="1">
    <w:p w:rsidR="0090205E" w:rsidRDefault="0090205E" w:rsidP="0090205E">
      <w:pPr>
        <w:pStyle w:val="a4"/>
        <w:jc w:val="both"/>
      </w:pPr>
      <w:r>
        <w:rPr>
          <w:rStyle w:val="a6"/>
        </w:rPr>
        <w:footnoteRef/>
      </w:r>
      <w:r>
        <w:t xml:space="preserve"> </w:t>
      </w:r>
      <w:r>
        <w:rPr>
          <w:rFonts w:ascii="Times New Roman" w:hAnsi="Times New Roman" w:cs="Times New Roman"/>
          <w:color w:val="auto"/>
          <w:lang w:bidi="ar-SA"/>
        </w:rPr>
        <w:t>Положение о порядке формирования государственных заданий государственным учреждениям Архангельской области и порядке финансового обеспечения выполнения этих заданий, утвержденное п</w:t>
      </w:r>
      <w:r>
        <w:rPr>
          <w:rFonts w:ascii="Times New Roman" w:hAnsi="Times New Roman" w:cs="Times New Roman"/>
          <w:bCs/>
          <w:color w:val="auto"/>
          <w:lang w:bidi="ar-SA"/>
        </w:rPr>
        <w:t xml:space="preserve">остановлением Правительства Архангельской области от 18.08.2015 № 338-пп (по тексту – Порядок формирования </w:t>
      </w:r>
      <w:proofErr w:type="spellStart"/>
      <w:r>
        <w:rPr>
          <w:rFonts w:ascii="Times New Roman" w:hAnsi="Times New Roman" w:cs="Times New Roman"/>
          <w:bCs/>
          <w:color w:val="auto"/>
          <w:lang w:bidi="ar-SA"/>
        </w:rPr>
        <w:t>госзаданий</w:t>
      </w:r>
      <w:proofErr w:type="spellEnd"/>
      <w:r>
        <w:rPr>
          <w:rFonts w:ascii="Times New Roman" w:hAnsi="Times New Roman" w:cs="Times New Roman"/>
          <w:bCs/>
          <w:color w:val="auto"/>
          <w:lang w:bidi="ar-SA"/>
        </w:rPr>
        <w:t xml:space="preserve"> № 338-пп)</w:t>
      </w:r>
    </w:p>
  </w:footnote>
  <w:footnote w:id="2">
    <w:p w:rsidR="0090205E" w:rsidRDefault="0090205E" w:rsidP="0090205E">
      <w:pPr>
        <w:pStyle w:val="a4"/>
        <w:jc w:val="both"/>
        <w:rPr>
          <w:rFonts w:ascii="Times New Roman" w:hAnsi="Times New Roman" w:cs="Times New Roman"/>
        </w:rPr>
      </w:pPr>
      <w:r>
        <w:rPr>
          <w:rStyle w:val="a6"/>
        </w:rPr>
        <w:footnoteRef/>
      </w:r>
      <w:r>
        <w:t xml:space="preserve"> </w:t>
      </w:r>
      <w:r>
        <w:rPr>
          <w:rFonts w:ascii="Times New Roman" w:eastAsia="Times New Roman" w:hAnsi="Times New Roman" w:cs="Times New Roman"/>
          <w:color w:val="auto"/>
          <w:lang w:eastAsia="en-US" w:bidi="ar-SA"/>
        </w:rPr>
        <w:t xml:space="preserve">Порядок определения объема и условия предоставления субсидии на иные цели, не связанные с финансовым обеспечением выполнения государственного задания, государственным организациям среднего профессионального образования Архангельской области, находящимся в ведении министерства образования Архангельской области, министерства культуры Архангельской области и министерства здравоохранения Архангельской области, на обеспечение выплат ежемесячного денежного вознаграждения за классное руководство (кураторство) педагогическим работникам государственных организаций среднего профессионального образования,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утвержденный </w:t>
      </w:r>
      <w:r>
        <w:rPr>
          <w:rFonts w:ascii="Times New Roman" w:hAnsi="Times New Roman" w:cs="Times New Roman"/>
          <w:color w:val="auto"/>
          <w:lang w:bidi="ar-SA"/>
        </w:rPr>
        <w:t xml:space="preserve">Постановлением Правительства Архангельской области от 12.10.2012 № 463-пп «О государственной программе Архангельской области «Развитие образования и науки Архангельской области» (по тексту – Порядок </w:t>
      </w:r>
      <w:r>
        <w:rPr>
          <w:rFonts w:ascii="Times New Roman" w:eastAsia="Times New Roman" w:hAnsi="Times New Roman" w:cs="Times New Roman"/>
          <w:color w:val="auto"/>
          <w:lang w:bidi="ar-SA"/>
        </w:rPr>
        <w:t>предоставления субсидии для выплат ЕДВ № 463-пп);</w:t>
      </w:r>
    </w:p>
  </w:footnote>
  <w:footnote w:id="3">
    <w:p w:rsidR="0090205E" w:rsidRDefault="0090205E" w:rsidP="0090205E">
      <w:pPr>
        <w:pStyle w:val="a4"/>
        <w:jc w:val="both"/>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w:t>
      </w:r>
      <w:hyperlink r:id="rId1" w:history="1">
        <w:r>
          <w:rPr>
            <w:rStyle w:val="a3"/>
            <w:rFonts w:ascii="Times New Roman" w:eastAsia="Calibri" w:hAnsi="Times New Roman" w:cs="Times New Roman"/>
            <w:color w:val="auto"/>
            <w:u w:val="none"/>
            <w:lang w:eastAsia="en-US" w:bidi="ar-SA"/>
          </w:rPr>
          <w:t>Положение</w:t>
        </w:r>
      </w:hyperlink>
      <w:r>
        <w:rPr>
          <w:rFonts w:ascii="Times New Roman" w:eastAsia="Calibri" w:hAnsi="Times New Roman" w:cs="Times New Roman"/>
          <w:color w:val="auto"/>
          <w:lang w:eastAsia="en-US" w:bidi="ar-SA"/>
        </w:rPr>
        <w:t xml:space="preserve"> о порядке определения объема и условиях предоставления государственным бюджетным и автономным учреждениям Архангельской области субсидий на иные цели, не связанные с финансовым обеспечением выполнения государственного задания, утвержденное постановлением Правительства Архангельской области от 28.08.2012 № 369-пп (по тексту – </w:t>
      </w:r>
      <w:r>
        <w:rPr>
          <w:rFonts w:ascii="Times New Roman" w:hAnsi="Times New Roman" w:cs="Times New Roman"/>
          <w:color w:val="auto"/>
          <w:lang w:bidi="ar-SA"/>
        </w:rPr>
        <w:t>Порядок по субсидиям на иные цели № 369-пп).</w:t>
      </w:r>
    </w:p>
  </w:footnote>
  <w:footnote w:id="4">
    <w:p w:rsidR="0090205E" w:rsidRDefault="0090205E" w:rsidP="0090205E">
      <w:pPr>
        <w:autoSpaceDE w:val="0"/>
        <w:autoSpaceDN w:val="0"/>
        <w:adjustRightInd w:val="0"/>
        <w:jc w:val="both"/>
        <w:rPr>
          <w:rFonts w:ascii="Times New Roman" w:hAnsi="Times New Roman" w:cs="Times New Roman"/>
          <w:sz w:val="20"/>
          <w:szCs w:val="20"/>
        </w:rPr>
      </w:pPr>
      <w:r>
        <w:rPr>
          <w:rStyle w:val="a6"/>
        </w:rPr>
        <w:footnoteRef/>
      </w:r>
      <w:r>
        <w:t xml:space="preserve"> </w:t>
      </w:r>
      <w:r>
        <w:rPr>
          <w:rFonts w:ascii="Times New Roman" w:hAnsi="Times New Roman" w:cs="Times New Roman"/>
          <w:sz w:val="20"/>
          <w:szCs w:val="20"/>
        </w:rPr>
        <w:t xml:space="preserve">Правила предоставления и распределения иных межбюджетных трансфертов из федерального бюджета бюджетам субъектов Российской Федерации и бюджету г. Байконура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г. Байконура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утвержденные постановлением Правительства РФ от 21.12.2021 № 2382 (по тексту – Правила </w:t>
      </w:r>
      <w:r>
        <w:rPr>
          <w:rFonts w:ascii="Times New Roman" w:eastAsia="Calibri" w:hAnsi="Times New Roman" w:cs="Times New Roman"/>
          <w:sz w:val="20"/>
          <w:szCs w:val="20"/>
        </w:rPr>
        <w:t xml:space="preserve">предоставления </w:t>
      </w:r>
      <w:r>
        <w:rPr>
          <w:rFonts w:ascii="Times New Roman" w:hAnsi="Times New Roman" w:cs="Times New Roman"/>
          <w:sz w:val="20"/>
          <w:szCs w:val="20"/>
        </w:rPr>
        <w:t>ИМТ об обеспечении выплат ЕДВ от 21.12.2021 № 2382);</w:t>
      </w:r>
    </w:p>
  </w:footnote>
  <w:footnote w:id="5">
    <w:p w:rsidR="0090205E" w:rsidRDefault="0090205E" w:rsidP="0090205E">
      <w:pPr>
        <w:autoSpaceDE w:val="0"/>
        <w:autoSpaceDN w:val="0"/>
        <w:adjustRightInd w:val="0"/>
        <w:jc w:val="both"/>
        <w:rPr>
          <w:rFonts w:ascii="Times New Roman" w:hAnsi="Times New Roman" w:cs="Times New Roman"/>
          <w:sz w:val="20"/>
          <w:szCs w:val="20"/>
        </w:rPr>
      </w:pPr>
      <w:r>
        <w:rPr>
          <w:rStyle w:val="a6"/>
          <w:rFonts w:ascii="Times New Roman" w:hAnsi="Times New Roman" w:cs="Times New Roman"/>
          <w:sz w:val="20"/>
          <w:szCs w:val="20"/>
        </w:rPr>
        <w:footnoteRef/>
      </w:r>
      <w:r>
        <w:rPr>
          <w:rFonts w:ascii="Times New Roman" w:hAnsi="Times New Roman" w:cs="Times New Roman"/>
          <w:sz w:val="20"/>
          <w:szCs w:val="20"/>
        </w:rPr>
        <w:t xml:space="preserve"> Правила предоставления и распределения иных межбюджетных трансфертов из федерального бюджета бюджетам субъектов Российской Федерации и бюджету г. Байконура на 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утвержденные постановлением Правительства РФ от 29.12.2021 № 2539 (по тексту – Правила </w:t>
      </w:r>
      <w:r>
        <w:rPr>
          <w:rFonts w:ascii="Times New Roman" w:eastAsia="Calibri" w:hAnsi="Times New Roman" w:cs="Times New Roman"/>
          <w:sz w:val="20"/>
          <w:szCs w:val="20"/>
        </w:rPr>
        <w:t xml:space="preserve">предоставления </w:t>
      </w:r>
      <w:r>
        <w:rPr>
          <w:rFonts w:ascii="Times New Roman" w:hAnsi="Times New Roman" w:cs="Times New Roman"/>
          <w:sz w:val="20"/>
          <w:szCs w:val="20"/>
        </w:rPr>
        <w:t>ИМТ об обеспечении выплат ЕДВ от 29.12.2021 № 2539)</w:t>
      </w:r>
    </w:p>
    <w:p w:rsidR="0090205E" w:rsidRDefault="0090205E" w:rsidP="0090205E">
      <w:pPr>
        <w:pStyle w:val="a4"/>
      </w:pPr>
    </w:p>
  </w:footnote>
  <w:footnote w:id="6">
    <w:p w:rsidR="0090205E" w:rsidRDefault="0090205E" w:rsidP="0090205E">
      <w:pPr>
        <w:pStyle w:val="a4"/>
        <w:jc w:val="both"/>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Решение Арбитражного суда Архангельской области от 20.11.2023 дело № А05-10850/2023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D3338"/>
    <w:multiLevelType w:val="hybridMultilevel"/>
    <w:tmpl w:val="34342D56"/>
    <w:lvl w:ilvl="0" w:tplc="66149F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05E"/>
    <w:rsid w:val="0090205E"/>
    <w:rsid w:val="00CA0A7C"/>
    <w:rsid w:val="00E95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58E9D-430E-48A1-B923-44A0E271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205E"/>
    <w:rPr>
      <w:color w:val="0563C1" w:themeColor="hyperlink"/>
      <w:u w:val="single"/>
    </w:rPr>
  </w:style>
  <w:style w:type="paragraph" w:styleId="a4">
    <w:name w:val="footnote text"/>
    <w:basedOn w:val="a"/>
    <w:link w:val="a5"/>
    <w:uiPriority w:val="99"/>
    <w:semiHidden/>
    <w:unhideWhenUsed/>
    <w:rsid w:val="0090205E"/>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5">
    <w:name w:val="Текст сноски Знак"/>
    <w:basedOn w:val="a0"/>
    <w:link w:val="a4"/>
    <w:uiPriority w:val="99"/>
    <w:semiHidden/>
    <w:rsid w:val="0090205E"/>
    <w:rPr>
      <w:rFonts w:ascii="Courier New" w:eastAsia="Courier New" w:hAnsi="Courier New" w:cs="Courier New"/>
      <w:color w:val="000000"/>
      <w:sz w:val="20"/>
      <w:szCs w:val="20"/>
      <w:lang w:eastAsia="ru-RU" w:bidi="ru-RU"/>
    </w:rPr>
  </w:style>
  <w:style w:type="character" w:styleId="a6">
    <w:name w:val="footnote reference"/>
    <w:basedOn w:val="a0"/>
    <w:uiPriority w:val="99"/>
    <w:semiHidden/>
    <w:unhideWhenUsed/>
    <w:rsid w:val="009020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013&amp;n=118368&amp;dst=100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F5C4A8BC376239FB1F1430191D133F7BCE04927DF5474D9189DD0767A954306B78B0CDEB1980B4FB01F22D4B4D55CE285D512727F158EJ3X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2595</Words>
  <Characters>14795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Колмогорова Людмила Владимировна</dc:creator>
  <cp:keywords/>
  <dc:description/>
  <cp:lastModifiedBy>Колмогорова Людмила Владимировна</cp:lastModifiedBy>
  <cp:revision>1</cp:revision>
  <dcterms:created xsi:type="dcterms:W3CDTF">2026-04-16T07:47:00Z</dcterms:created>
  <dcterms:modified xsi:type="dcterms:W3CDTF">2026-04-16T07:51:00Z</dcterms:modified>
</cp:coreProperties>
</file>