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0C0" w:rsidRPr="009A00C0" w:rsidRDefault="009A00C0" w:rsidP="009A00C0">
      <w:pPr>
        <w:widowControl w:val="0"/>
        <w:shd w:val="clear" w:color="auto" w:fill="FFFFFF"/>
        <w:tabs>
          <w:tab w:val="left" w:pos="851"/>
          <w:tab w:val="left" w:pos="1134"/>
        </w:tabs>
        <w:spacing w:after="0" w:line="240" w:lineRule="auto"/>
        <w:ind w:right="-5" w:firstLine="709"/>
        <w:jc w:val="both"/>
        <w:rPr>
          <w:rFonts w:ascii="Times New Roman" w:eastAsia="Times New Roman" w:hAnsi="Times New Roman" w:cs="Times New Roman"/>
          <w:b/>
          <w:sz w:val="28"/>
          <w:szCs w:val="28"/>
          <w:lang w:eastAsia="ru-RU" w:bidi="ru-RU"/>
        </w:rPr>
      </w:pPr>
      <w:r w:rsidRPr="009A00C0">
        <w:rPr>
          <w:rFonts w:ascii="Times New Roman" w:eastAsia="Times New Roman" w:hAnsi="Times New Roman" w:cs="Times New Roman"/>
          <w:b/>
          <w:sz w:val="28"/>
          <w:szCs w:val="28"/>
          <w:lang w:eastAsia="ru-RU" w:bidi="ru-RU"/>
        </w:rPr>
        <w:t xml:space="preserve">Предложения и рекомендации контрольно-счетной палаты Архангельской области </w:t>
      </w:r>
      <w:r>
        <w:rPr>
          <w:rFonts w:ascii="Times New Roman" w:eastAsia="Times New Roman" w:hAnsi="Times New Roman" w:cs="Times New Roman"/>
          <w:b/>
          <w:sz w:val="28"/>
          <w:szCs w:val="28"/>
          <w:lang w:eastAsia="ru-RU" w:bidi="ru-RU"/>
        </w:rPr>
        <w:t xml:space="preserve">инспекции по культурному наследию </w:t>
      </w:r>
      <w:r w:rsidRPr="009A00C0">
        <w:rPr>
          <w:rFonts w:ascii="Times New Roman" w:eastAsia="Times New Roman" w:hAnsi="Times New Roman" w:cs="Times New Roman"/>
          <w:b/>
          <w:sz w:val="28"/>
          <w:szCs w:val="28"/>
          <w:lang w:eastAsia="ru-RU" w:bidi="ru-RU"/>
        </w:rPr>
        <w:t xml:space="preserve">Архангельской области по результатам </w:t>
      </w:r>
      <w:r>
        <w:rPr>
          <w:rFonts w:ascii="Times New Roman" w:eastAsia="Times New Roman" w:hAnsi="Times New Roman" w:cs="Times New Roman"/>
          <w:b/>
          <w:sz w:val="28"/>
          <w:szCs w:val="28"/>
          <w:lang w:eastAsia="ru-RU" w:bidi="ru-RU"/>
        </w:rPr>
        <w:t xml:space="preserve">контрольного мероприятия </w:t>
      </w:r>
      <w:r w:rsidRPr="009A00C0">
        <w:rPr>
          <w:rFonts w:ascii="Times New Roman" w:eastAsia="Times New Roman" w:hAnsi="Times New Roman" w:cs="Times New Roman"/>
          <w:b/>
          <w:sz w:val="28"/>
          <w:szCs w:val="28"/>
          <w:lang w:eastAsia="ru-RU" w:bidi="ru-RU"/>
        </w:rPr>
        <w:t xml:space="preserve">«Проверка выполнения функций и обеспечения финансово-хозяйственной деятельности инспекции по охране объектов культурного наследия Архангельской области с проведением встречной проверки подведомственного учреждения» </w:t>
      </w:r>
    </w:p>
    <w:p w:rsidR="009A00C0" w:rsidRPr="009A00C0" w:rsidRDefault="009A00C0" w:rsidP="009A00C0">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lang w:eastAsia="ru-RU" w:bidi="ru-RU"/>
        </w:rPr>
      </w:pPr>
      <w:r w:rsidRPr="009A00C0">
        <w:rPr>
          <w:rFonts w:ascii="Times New Roman" w:eastAsia="Courier New" w:hAnsi="Times New Roman" w:cs="Times New Roman"/>
          <w:sz w:val="28"/>
          <w:szCs w:val="28"/>
          <w:lang w:eastAsia="ru-RU" w:bidi="ru-RU"/>
        </w:rPr>
        <w:t>Контрольно-счетной палатой Архангельской области на основании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областного закона от 30.05.2011 № 288-22-03 «О контрольно-счетной палате Архангельской области»,</w:t>
      </w:r>
      <w:r w:rsidRPr="009A00C0">
        <w:rPr>
          <w:rFonts w:ascii="Times New Roman" w:eastAsia="Times New Roman" w:hAnsi="Times New Roman" w:cs="Times New Roman"/>
          <w:sz w:val="28"/>
          <w:szCs w:val="28"/>
          <w:lang w:eastAsia="ru-RU" w:bidi="ru-RU"/>
        </w:rPr>
        <w:t xml:space="preserve"> плана экспертно-аналитической и контрольной деятельности контрольно-счетной палаты Архангельской области на 2025 год, распоряжения контрольно-счетной палаты Архангельской области от </w:t>
      </w:r>
      <w:r w:rsidRPr="009A00C0">
        <w:rPr>
          <w:rFonts w:ascii="Times New Roman" w:eastAsia="Calibri" w:hAnsi="Times New Roman" w:cs="Times New Roman"/>
          <w:sz w:val="28"/>
          <w:szCs w:val="28"/>
        </w:rPr>
        <w:t>03.02.2025 № 2-р</w:t>
      </w:r>
      <w:r w:rsidRPr="009A00C0">
        <w:rPr>
          <w:rFonts w:ascii="Times New Roman" w:eastAsia="Times New Roman" w:hAnsi="Times New Roman" w:cs="Times New Roman"/>
          <w:sz w:val="28"/>
          <w:szCs w:val="28"/>
          <w:lang w:eastAsia="ru-RU" w:bidi="ru-RU"/>
        </w:rPr>
        <w:t xml:space="preserve"> проведено </w:t>
      </w:r>
      <w:r w:rsidRPr="009A00C0">
        <w:rPr>
          <w:rFonts w:ascii="Times New Roman" w:eastAsia="Times New Roman" w:hAnsi="Times New Roman" w:cs="Times New Roman"/>
          <w:bCs/>
          <w:sz w:val="28"/>
          <w:szCs w:val="28"/>
          <w:lang w:eastAsia="ru-RU" w:bidi="ru-RU"/>
        </w:rPr>
        <w:t xml:space="preserve">контрольное мероприятие </w:t>
      </w:r>
      <w:r w:rsidRPr="009A00C0">
        <w:rPr>
          <w:rFonts w:ascii="Times New Roman" w:eastAsia="Courier New" w:hAnsi="Times New Roman" w:cs="Times New Roman"/>
          <w:sz w:val="28"/>
          <w:szCs w:val="28"/>
          <w:lang w:eastAsia="ru-RU" w:bidi="ru-RU"/>
        </w:rPr>
        <w:t>«Проверка выполнения функций и обеспечения финансово-хозяйственной деятельности инспекции по охране объектов культурного наследия Архангельской области с проведением встречной проверки подведомственного учреждения»</w:t>
      </w:r>
      <w:r w:rsidRPr="009A00C0">
        <w:rPr>
          <w:rFonts w:ascii="Times New Roman" w:eastAsia="Times New Roman" w:hAnsi="Times New Roman" w:cs="Times New Roman"/>
          <w:bCs/>
          <w:sz w:val="28"/>
          <w:szCs w:val="28"/>
          <w:lang w:eastAsia="ru-RU" w:bidi="ru-RU"/>
        </w:rPr>
        <w:t>.</w:t>
      </w:r>
    </w:p>
    <w:p w:rsidR="009A00C0" w:rsidRPr="009A00C0" w:rsidRDefault="009A00C0" w:rsidP="009A00C0">
      <w:pPr>
        <w:widowControl w:val="0"/>
        <w:spacing w:after="0" w:line="240" w:lineRule="auto"/>
        <w:ind w:firstLine="709"/>
        <w:jc w:val="both"/>
        <w:rPr>
          <w:rFonts w:ascii="Times New Roman" w:eastAsia="Courier New" w:hAnsi="Times New Roman" w:cs="Times New Roman"/>
          <w:bCs/>
          <w:sz w:val="28"/>
          <w:szCs w:val="28"/>
          <w:lang w:eastAsia="ru-RU" w:bidi="ru-RU"/>
        </w:rPr>
      </w:pPr>
      <w:r w:rsidRPr="009A00C0">
        <w:rPr>
          <w:rFonts w:ascii="Times New Roman" w:eastAsia="Times New Roman" w:hAnsi="Times New Roman" w:cs="Times New Roman"/>
          <w:sz w:val="28"/>
          <w:szCs w:val="28"/>
          <w:lang w:eastAsia="ru-RU"/>
        </w:rPr>
        <w:t xml:space="preserve">При анализе учредительных документов </w:t>
      </w:r>
      <w:r w:rsidRPr="009A00C0">
        <w:rPr>
          <w:rFonts w:ascii="Times New Roman" w:eastAsia="Courier New" w:hAnsi="Times New Roman" w:cs="Times New Roman"/>
          <w:bCs/>
          <w:sz w:val="28"/>
          <w:szCs w:val="28"/>
          <w:lang w:eastAsia="ru-RU" w:bidi="ru-RU"/>
        </w:rPr>
        <w:t>ГАУ «НПЦ»</w:t>
      </w:r>
      <w:r w:rsidRPr="009A00C0">
        <w:rPr>
          <w:rFonts w:ascii="Times New Roman" w:eastAsia="Times New Roman" w:hAnsi="Times New Roman" w:cs="Times New Roman"/>
          <w:sz w:val="28"/>
          <w:szCs w:val="28"/>
          <w:lang w:eastAsia="ru-RU"/>
        </w:rPr>
        <w:t xml:space="preserve"> установлено, что Устав </w:t>
      </w:r>
      <w:r w:rsidRPr="009A00C0">
        <w:rPr>
          <w:rFonts w:ascii="Times New Roman" w:eastAsia="Courier New" w:hAnsi="Times New Roman" w:cs="Times New Roman"/>
          <w:bCs/>
          <w:sz w:val="28"/>
          <w:szCs w:val="28"/>
          <w:lang w:eastAsia="ru-RU" w:bidi="ru-RU"/>
        </w:rPr>
        <w:t>ГАУ «НПЦ»</w:t>
      </w:r>
      <w:r w:rsidRPr="009A00C0">
        <w:rPr>
          <w:rFonts w:ascii="Times New Roman" w:eastAsia="Times New Roman" w:hAnsi="Times New Roman" w:cs="Times New Roman"/>
          <w:sz w:val="28"/>
          <w:szCs w:val="28"/>
          <w:lang w:eastAsia="ru-RU"/>
        </w:rPr>
        <w:t xml:space="preserve"> не содержит исчерпывающий перечень видов деятельности, которые учреждение выполняет, что свидетельствует о несоблюдении требований, предусмотренных подпунктом 5 пункта 2 статьи 7 </w:t>
      </w:r>
      <w:r w:rsidRPr="009A00C0">
        <w:rPr>
          <w:rFonts w:ascii="Times New Roman" w:eastAsia="Courier New" w:hAnsi="Times New Roman" w:cs="Times New Roman"/>
          <w:sz w:val="28"/>
          <w:szCs w:val="28"/>
          <w:lang w:eastAsia="ru-RU"/>
        </w:rPr>
        <w:t xml:space="preserve">Федерального закона от 03.11.2006 № 174-ФЗ «Об автономных учреждениях» (далее – Федеральный закон «Об автономных учреждениях»). </w:t>
      </w:r>
      <w:r w:rsidRPr="009A00C0">
        <w:rPr>
          <w:rFonts w:ascii="Times New Roman" w:eastAsia="Courier New" w:hAnsi="Times New Roman" w:cs="Times New Roman"/>
          <w:bCs/>
          <w:sz w:val="28"/>
          <w:szCs w:val="28"/>
          <w:lang w:eastAsia="ru-RU" w:bidi="ru-RU"/>
        </w:rPr>
        <w:t xml:space="preserve">Более того, </w:t>
      </w:r>
      <w:r w:rsidRPr="009A00C0">
        <w:rPr>
          <w:rFonts w:ascii="Times New Roman" w:eastAsia="Courier New" w:hAnsi="Times New Roman" w:cs="Times New Roman"/>
          <w:sz w:val="28"/>
          <w:szCs w:val="28"/>
          <w:lang w:eastAsia="ru-RU" w:bidi="ru-RU"/>
        </w:rPr>
        <w:t xml:space="preserve">основной вид деятельности учреждения (обеспечение сохранения и использования объектов культурного наследия) реализуется через мероприятия, финансовое обеспечение которых осуществляется за счет средств субсидии на иные цели, а именно: субсидий на осуществление мероприятий по капитальному ремонту объектов недвижимого имущества. </w:t>
      </w:r>
    </w:p>
    <w:p w:rsidR="009A00C0" w:rsidRPr="009A00C0" w:rsidRDefault="009A00C0" w:rsidP="009A00C0">
      <w:pPr>
        <w:widowControl w:val="0"/>
        <w:tabs>
          <w:tab w:val="left" w:pos="1418"/>
        </w:tabs>
        <w:spacing w:after="0" w:line="240" w:lineRule="auto"/>
        <w:ind w:firstLine="709"/>
        <w:jc w:val="both"/>
        <w:rPr>
          <w:rFonts w:ascii="Times New Roman" w:eastAsia="Times New Roman" w:hAnsi="Times New Roman" w:cs="Times New Roman"/>
          <w:sz w:val="28"/>
          <w:szCs w:val="28"/>
          <w:lang w:eastAsia="ru-RU"/>
        </w:rPr>
      </w:pPr>
      <w:r w:rsidRPr="009A00C0">
        <w:rPr>
          <w:rFonts w:ascii="Times New Roman" w:eastAsia="Times New Roman" w:hAnsi="Times New Roman" w:cs="Times New Roman"/>
          <w:sz w:val="28"/>
          <w:szCs w:val="28"/>
          <w:lang w:eastAsia="ru-RU"/>
        </w:rPr>
        <w:t xml:space="preserve">Проверкой исполнения </w:t>
      </w:r>
      <w:r w:rsidRPr="009A00C0">
        <w:rPr>
          <w:rFonts w:ascii="Times New Roman" w:eastAsia="Times New Roman" w:hAnsi="Times New Roman" w:cs="Times New Roman"/>
          <w:sz w:val="28"/>
          <w:szCs w:val="28"/>
          <w:lang w:eastAsia="ru-RU" w:bidi="ru-RU"/>
        </w:rPr>
        <w:t>требований к формированию государственного здания</w:t>
      </w:r>
      <w:r w:rsidRPr="009A00C0">
        <w:rPr>
          <w:rFonts w:ascii="Times New Roman" w:eastAsia="Times New Roman" w:hAnsi="Times New Roman" w:cs="Times New Roman"/>
          <w:sz w:val="28"/>
          <w:szCs w:val="28"/>
          <w:lang w:eastAsia="ru-RU"/>
        </w:rPr>
        <w:t xml:space="preserve"> установлено, что </w:t>
      </w:r>
      <w:r w:rsidRPr="009A00C0">
        <w:rPr>
          <w:rFonts w:ascii="Times New Roman" w:eastAsia="Courier New" w:hAnsi="Times New Roman" w:cs="Times New Roman"/>
          <w:sz w:val="28"/>
          <w:szCs w:val="28"/>
          <w:lang w:eastAsia="ru-RU" w:bidi="ru-RU"/>
        </w:rPr>
        <w:t xml:space="preserve">инспекцией с отступлением от требований, предусмотренных </w:t>
      </w:r>
      <w:hyperlink r:id="rId6" w:history="1">
        <w:r w:rsidRPr="009A00C0">
          <w:rPr>
            <w:rFonts w:ascii="Times New Roman" w:eastAsia="Courier New" w:hAnsi="Times New Roman" w:cs="Times New Roman"/>
            <w:sz w:val="28"/>
            <w:szCs w:val="28"/>
            <w:lang w:eastAsia="ru-RU" w:bidi="ru-RU"/>
          </w:rPr>
          <w:t>подпунктом 9 пункта 1 статьи 158</w:t>
        </w:r>
      </w:hyperlink>
      <w:r w:rsidRPr="009A00C0">
        <w:rPr>
          <w:rFonts w:ascii="Times New Roman" w:eastAsia="Courier New" w:hAnsi="Times New Roman" w:cs="Times New Roman"/>
          <w:sz w:val="28"/>
          <w:szCs w:val="28"/>
          <w:lang w:eastAsia="ru-RU" w:bidi="ru-RU"/>
        </w:rPr>
        <w:t xml:space="preserve"> БК РФ по формированию государственных заданий, при утверждении государственных заданий на 2023 год, на 2024 год осуществлялось доведение работ:</w:t>
      </w:r>
    </w:p>
    <w:p w:rsidR="009A00C0" w:rsidRPr="009A00C0" w:rsidRDefault="009A00C0" w:rsidP="009A00C0">
      <w:pPr>
        <w:widowControl w:val="0"/>
        <w:tabs>
          <w:tab w:val="left" w:pos="1418"/>
        </w:tabs>
        <w:spacing w:after="0" w:line="240" w:lineRule="auto"/>
        <w:ind w:firstLine="709"/>
        <w:jc w:val="both"/>
        <w:rPr>
          <w:rFonts w:ascii="Times New Roman" w:eastAsia="Courier New" w:hAnsi="Times New Roman" w:cs="Times New Roman"/>
          <w:sz w:val="28"/>
          <w:szCs w:val="28"/>
          <w:lang w:eastAsia="ru-RU" w:bidi="ru-RU"/>
        </w:rPr>
      </w:pPr>
      <w:r w:rsidRPr="009A00C0">
        <w:rPr>
          <w:rFonts w:ascii="Times New Roman" w:eastAsia="Courier New" w:hAnsi="Times New Roman" w:cs="Times New Roman"/>
          <w:bCs/>
          <w:sz w:val="28"/>
          <w:szCs w:val="28"/>
          <w:lang w:eastAsia="ru-RU" w:bidi="ru-RU"/>
        </w:rPr>
        <w:t>-</w:t>
      </w:r>
      <w:r w:rsidRPr="009A00C0">
        <w:rPr>
          <w:rFonts w:ascii="Times New Roman" w:eastAsia="Courier New" w:hAnsi="Times New Roman" w:cs="Times New Roman"/>
          <w:sz w:val="28"/>
          <w:szCs w:val="28"/>
          <w:lang w:eastAsia="ru-RU" w:bidi="ru-RU"/>
        </w:rPr>
        <w:t>по наименованиям показателей «</w:t>
      </w:r>
      <w:r w:rsidRPr="009A00C0">
        <w:rPr>
          <w:rFonts w:ascii="Times New Roman" w:eastAsia="Calibri" w:hAnsi="Times New Roman" w:cs="Times New Roman"/>
          <w:sz w:val="28"/>
          <w:szCs w:val="28"/>
          <w:lang w:eastAsia="ru-RU" w:bidi="ru-RU"/>
        </w:rPr>
        <w:t xml:space="preserve">Количество подготовленных документов (заявок) для участия в федеральных целевых программах», «Количество подготовленных паспортов объектов культурного наследия» </w:t>
      </w:r>
      <w:r w:rsidRPr="009A00C0">
        <w:rPr>
          <w:rFonts w:ascii="Times New Roman" w:eastAsia="Courier New" w:hAnsi="Times New Roman" w:cs="Times New Roman"/>
          <w:sz w:val="28"/>
          <w:szCs w:val="28"/>
          <w:lang w:eastAsia="ru-RU" w:bidi="ru-RU"/>
        </w:rPr>
        <w:t xml:space="preserve">без учета объема участия </w:t>
      </w:r>
      <w:r w:rsidRPr="009A00C0">
        <w:rPr>
          <w:rFonts w:ascii="Times New Roman" w:eastAsia="Courier New" w:hAnsi="Times New Roman" w:cs="Times New Roman"/>
          <w:bCs/>
          <w:sz w:val="28"/>
          <w:szCs w:val="28"/>
          <w:lang w:eastAsia="ru-RU" w:bidi="ru-RU"/>
        </w:rPr>
        <w:t xml:space="preserve">ГАУ «НПЦ» </w:t>
      </w:r>
      <w:r w:rsidRPr="009A00C0">
        <w:rPr>
          <w:rFonts w:ascii="Times New Roman" w:eastAsia="Courier New" w:hAnsi="Times New Roman" w:cs="Times New Roman"/>
          <w:sz w:val="28"/>
          <w:szCs w:val="28"/>
          <w:lang w:eastAsia="ru-RU" w:bidi="ru-RU"/>
        </w:rPr>
        <w:t xml:space="preserve">в подготовке и формировании </w:t>
      </w:r>
      <w:r w:rsidRPr="009A00C0">
        <w:rPr>
          <w:rFonts w:ascii="Times New Roman" w:eastAsia="Calibri" w:hAnsi="Times New Roman" w:cs="Times New Roman"/>
          <w:sz w:val="28"/>
          <w:szCs w:val="28"/>
          <w:lang w:eastAsia="ru-RU" w:bidi="ru-RU"/>
        </w:rPr>
        <w:t xml:space="preserve">документов, служащих основанием для реализации учредителем полномочий по выдаче паспорта объектов культурного наследия, полномочий по участию </w:t>
      </w:r>
      <w:r w:rsidRPr="009A00C0">
        <w:rPr>
          <w:rFonts w:ascii="Times New Roman" w:eastAsia="Courier New" w:hAnsi="Times New Roman" w:cs="Times New Roman"/>
          <w:sz w:val="28"/>
          <w:szCs w:val="28"/>
          <w:lang w:eastAsia="ru-RU" w:bidi="ru-RU"/>
        </w:rPr>
        <w:t xml:space="preserve">и реализации федеральных целевых программах; </w:t>
      </w:r>
    </w:p>
    <w:p w:rsidR="009A00C0" w:rsidRPr="009A00C0" w:rsidRDefault="009A00C0" w:rsidP="009A00C0">
      <w:pPr>
        <w:widowControl w:val="0"/>
        <w:tabs>
          <w:tab w:val="left" w:pos="1418"/>
        </w:tabs>
        <w:spacing w:after="0" w:line="240" w:lineRule="auto"/>
        <w:ind w:firstLine="709"/>
        <w:jc w:val="both"/>
        <w:rPr>
          <w:rFonts w:ascii="Times New Roman" w:eastAsia="Courier New" w:hAnsi="Times New Roman" w:cs="Times New Roman"/>
          <w:sz w:val="28"/>
          <w:szCs w:val="28"/>
          <w:lang w:eastAsia="ru-RU" w:bidi="ru-RU"/>
        </w:rPr>
      </w:pPr>
      <w:r w:rsidRPr="009A00C0">
        <w:rPr>
          <w:rFonts w:ascii="Times New Roman" w:eastAsia="Courier New" w:hAnsi="Times New Roman" w:cs="Times New Roman"/>
          <w:sz w:val="28"/>
          <w:szCs w:val="28"/>
          <w:lang w:eastAsia="ru-RU" w:bidi="ru-RU"/>
        </w:rPr>
        <w:t>-по наименованиям показателей «</w:t>
      </w:r>
      <w:r w:rsidRPr="009A00C0">
        <w:rPr>
          <w:rFonts w:ascii="Times New Roman" w:eastAsia="Calibri" w:hAnsi="Times New Roman" w:cs="Times New Roman"/>
          <w:sz w:val="28"/>
          <w:szCs w:val="28"/>
          <w:lang w:eastAsia="ru-RU" w:bidi="ru-RU"/>
        </w:rPr>
        <w:t xml:space="preserve">Количество актов технического состояния объектов культурного наследия», «Количество разработанных </w:t>
      </w:r>
      <w:r w:rsidRPr="009A00C0">
        <w:rPr>
          <w:rFonts w:ascii="Times New Roman" w:eastAsia="Calibri" w:hAnsi="Times New Roman" w:cs="Times New Roman"/>
          <w:sz w:val="28"/>
          <w:szCs w:val="28"/>
          <w:lang w:eastAsia="ru-RU" w:bidi="ru-RU"/>
        </w:rPr>
        <w:lastRenderedPageBreak/>
        <w:t xml:space="preserve">предметов охраны на объекты культурного наследия (памятники истории и культуры)» </w:t>
      </w:r>
      <w:r w:rsidRPr="009A00C0">
        <w:rPr>
          <w:rFonts w:ascii="Times New Roman" w:eastAsia="Courier New" w:hAnsi="Times New Roman" w:cs="Times New Roman"/>
          <w:sz w:val="28"/>
          <w:szCs w:val="28"/>
          <w:lang w:eastAsia="ru-RU" w:bidi="ru-RU"/>
        </w:rPr>
        <w:t xml:space="preserve">в нарушение </w:t>
      </w:r>
      <w:hyperlink r:id="rId7" w:history="1">
        <w:r w:rsidRPr="009A00C0">
          <w:rPr>
            <w:rFonts w:ascii="Times New Roman" w:eastAsia="Courier New" w:hAnsi="Times New Roman" w:cs="Times New Roman"/>
            <w:sz w:val="28"/>
            <w:szCs w:val="28"/>
            <w:lang w:eastAsia="ru-RU" w:bidi="ru-RU"/>
          </w:rPr>
          <w:t>части 2 статьи 4</w:t>
        </w:r>
      </w:hyperlink>
      <w:r w:rsidRPr="009A00C0">
        <w:rPr>
          <w:rFonts w:ascii="Times New Roman" w:eastAsia="Courier New" w:hAnsi="Times New Roman" w:cs="Times New Roman"/>
          <w:sz w:val="28"/>
          <w:szCs w:val="28"/>
          <w:lang w:eastAsia="ru-RU" w:bidi="ru-RU"/>
        </w:rPr>
        <w:t xml:space="preserve"> </w:t>
      </w:r>
      <w:r w:rsidRPr="009A00C0">
        <w:rPr>
          <w:rFonts w:ascii="Times New Roman" w:eastAsia="Courier New" w:hAnsi="Times New Roman" w:cs="Times New Roman"/>
          <w:sz w:val="28"/>
          <w:szCs w:val="28"/>
          <w:lang w:eastAsia="ru-RU"/>
        </w:rPr>
        <w:t xml:space="preserve">Федерального закона «Об автономных учреждениях», </w:t>
      </w:r>
      <w:r w:rsidRPr="009A00C0">
        <w:rPr>
          <w:rFonts w:ascii="Times New Roman" w:eastAsia="Calibri" w:hAnsi="Times New Roman" w:cs="Times New Roman"/>
          <w:sz w:val="28"/>
          <w:szCs w:val="28"/>
          <w:lang w:eastAsia="ru-RU" w:bidi="ru-RU"/>
        </w:rPr>
        <w:t>в связи с отнесением данных видов работ к мероприятиям охраны объектов культурного наследия и отсутствием данного видов деятельности среди уставных основных видов</w:t>
      </w:r>
      <w:r w:rsidRPr="009A00C0">
        <w:rPr>
          <w:rFonts w:ascii="Times New Roman" w:eastAsia="Courier New" w:hAnsi="Times New Roman" w:cs="Times New Roman"/>
          <w:sz w:val="28"/>
          <w:szCs w:val="28"/>
          <w:lang w:eastAsia="ru-RU" w:bidi="ru-RU"/>
        </w:rPr>
        <w:t xml:space="preserve"> деятельности учреждения; </w:t>
      </w:r>
    </w:p>
    <w:p w:rsidR="009A00C0" w:rsidRPr="009A00C0" w:rsidRDefault="009A00C0" w:rsidP="009A00C0">
      <w:pPr>
        <w:widowControl w:val="0"/>
        <w:tabs>
          <w:tab w:val="left" w:pos="1418"/>
        </w:tabs>
        <w:spacing w:after="0" w:line="240" w:lineRule="auto"/>
        <w:ind w:firstLine="709"/>
        <w:jc w:val="both"/>
        <w:rPr>
          <w:rFonts w:ascii="Times New Roman" w:eastAsia="Courier New" w:hAnsi="Times New Roman" w:cs="Times New Roman"/>
          <w:sz w:val="28"/>
          <w:szCs w:val="28"/>
          <w:lang w:eastAsia="ru-RU" w:bidi="ru-RU"/>
        </w:rPr>
      </w:pPr>
      <w:r w:rsidRPr="009A00C0">
        <w:rPr>
          <w:rFonts w:ascii="Times New Roman" w:eastAsia="Courier New" w:hAnsi="Times New Roman" w:cs="Times New Roman"/>
          <w:sz w:val="28"/>
          <w:szCs w:val="28"/>
          <w:lang w:eastAsia="ru-RU" w:bidi="ru-RU"/>
        </w:rPr>
        <w:t xml:space="preserve">-по наименованиям показателей </w:t>
      </w:r>
      <w:r w:rsidRPr="009A00C0">
        <w:rPr>
          <w:rFonts w:ascii="Times New Roman" w:eastAsia="Calibri" w:hAnsi="Times New Roman" w:cs="Times New Roman"/>
          <w:sz w:val="28"/>
          <w:szCs w:val="28"/>
          <w:lang w:eastAsia="ru-RU" w:bidi="ru-RU"/>
        </w:rPr>
        <w:t xml:space="preserve">«Количество ведомостей определяющих объемы работ на объектах культурного наследия» </w:t>
      </w:r>
      <w:r w:rsidRPr="009A00C0">
        <w:rPr>
          <w:rFonts w:ascii="Times New Roman" w:eastAsia="Courier New" w:hAnsi="Times New Roman" w:cs="Times New Roman"/>
          <w:sz w:val="28"/>
          <w:szCs w:val="28"/>
          <w:lang w:eastAsia="ru-RU" w:bidi="ru-RU"/>
        </w:rPr>
        <w:t xml:space="preserve">без учета подготовки </w:t>
      </w:r>
      <w:r w:rsidRPr="009A00C0">
        <w:rPr>
          <w:rFonts w:ascii="Times New Roman" w:eastAsia="Courier New" w:hAnsi="Times New Roman" w:cs="Times New Roman"/>
          <w:bCs/>
          <w:sz w:val="28"/>
          <w:szCs w:val="28"/>
          <w:lang w:eastAsia="ru-RU" w:bidi="ru-RU"/>
        </w:rPr>
        <w:t xml:space="preserve">ГАУ «НПЦ» </w:t>
      </w:r>
      <w:r w:rsidRPr="009A00C0">
        <w:rPr>
          <w:rFonts w:ascii="Times New Roman" w:eastAsia="Courier New" w:hAnsi="Times New Roman" w:cs="Times New Roman"/>
          <w:sz w:val="28"/>
          <w:szCs w:val="28"/>
          <w:lang w:eastAsia="ru-RU" w:bidi="ru-RU"/>
        </w:rPr>
        <w:t>не только ведомостей работ, но и другой сметной документации.</w:t>
      </w:r>
    </w:p>
    <w:p w:rsidR="009A00C0" w:rsidRPr="009A00C0" w:rsidRDefault="009A00C0" w:rsidP="009A00C0">
      <w:pPr>
        <w:widowControl w:val="0"/>
        <w:spacing w:after="0" w:line="240" w:lineRule="auto"/>
        <w:ind w:firstLine="709"/>
        <w:jc w:val="both"/>
        <w:rPr>
          <w:rFonts w:ascii="Times New Roman" w:eastAsia="Courier New" w:hAnsi="Times New Roman" w:cs="Times New Roman"/>
          <w:sz w:val="28"/>
          <w:szCs w:val="28"/>
          <w:lang w:eastAsia="ru-RU" w:bidi="ru-RU"/>
        </w:rPr>
      </w:pPr>
      <w:r w:rsidRPr="009A00C0">
        <w:rPr>
          <w:rFonts w:ascii="Times New Roman" w:eastAsia="Times New Roman" w:hAnsi="Times New Roman" w:cs="Times New Roman"/>
          <w:sz w:val="28"/>
          <w:szCs w:val="28"/>
          <w:lang w:eastAsia="ru-RU"/>
        </w:rPr>
        <w:t xml:space="preserve">Кроме того, при формировании государственных заданий для </w:t>
      </w:r>
      <w:r w:rsidRPr="009A00C0">
        <w:rPr>
          <w:rFonts w:ascii="Times New Roman" w:eastAsia="Courier New" w:hAnsi="Times New Roman" w:cs="Times New Roman"/>
          <w:bCs/>
          <w:sz w:val="28"/>
          <w:szCs w:val="28"/>
          <w:lang w:eastAsia="ru-RU" w:bidi="ru-RU"/>
        </w:rPr>
        <w:t xml:space="preserve">ГАУ «НПЦ» </w:t>
      </w:r>
      <w:r w:rsidRPr="009A00C0">
        <w:rPr>
          <w:rFonts w:ascii="Times New Roman" w:eastAsia="Courier New" w:hAnsi="Times New Roman" w:cs="Times New Roman"/>
          <w:sz w:val="28"/>
          <w:szCs w:val="28"/>
          <w:lang w:eastAsia="ru-RU" w:bidi="ru-RU"/>
        </w:rPr>
        <w:t xml:space="preserve">не отражалось в отношении какой категории (федеральные, региональные, муниципальные) объектов культурного наследия (по тексту – ОКН) необходимо осуществлять государственную работу «Обеспечение сохранения и использования ОКН». </w:t>
      </w:r>
    </w:p>
    <w:p w:rsidR="009A00C0" w:rsidRPr="009A00C0" w:rsidRDefault="009A00C0" w:rsidP="009A00C0">
      <w:pPr>
        <w:widowControl w:val="0"/>
        <w:spacing w:after="0" w:line="240" w:lineRule="auto"/>
        <w:ind w:firstLine="709"/>
        <w:contextualSpacing/>
        <w:jc w:val="both"/>
        <w:rPr>
          <w:rFonts w:ascii="Times New Roman" w:eastAsia="Times New Roman" w:hAnsi="Times New Roman" w:cs="Times New Roman"/>
          <w:sz w:val="28"/>
          <w:szCs w:val="28"/>
          <w:lang w:eastAsia="ru-RU" w:bidi="ru-RU"/>
        </w:rPr>
      </w:pPr>
      <w:r w:rsidRPr="009A00C0">
        <w:rPr>
          <w:rFonts w:ascii="Times New Roman" w:eastAsia="Times New Roman" w:hAnsi="Times New Roman" w:cs="Times New Roman"/>
          <w:sz w:val="28"/>
          <w:szCs w:val="28"/>
          <w:lang w:eastAsia="ru-RU" w:bidi="ru-RU"/>
        </w:rPr>
        <w:t xml:space="preserve">Отдельно в ходе контрольного мероприятия проанализировано предоставление средств субсидии на иные цели и использование средства областного бюджета на проведение капитального ремонта ОКН «Кинотеатр «Север», при производстве которых усматриваются признаки реконструкции, принятие которых свидетельствует о фактической направленности на осуществление капитальных вложений в объекты капитального строительства, что сопряжено с нарушением пункта 1 статьи 78.1, пункта 1 статьи 78.2 БК РФ, подпункта 15 пункта 2 и пункта 4 </w:t>
      </w:r>
      <w:hyperlink r:id="rId8" w:history="1">
        <w:r w:rsidRPr="009A00C0">
          <w:rPr>
            <w:rFonts w:ascii="Times New Roman" w:eastAsia="Calibri" w:hAnsi="Times New Roman" w:cs="Times New Roman"/>
            <w:sz w:val="28"/>
            <w:szCs w:val="28"/>
          </w:rPr>
          <w:t>Положения</w:t>
        </w:r>
      </w:hyperlink>
      <w:r w:rsidRPr="009A00C0">
        <w:rPr>
          <w:rFonts w:ascii="Times New Roman" w:eastAsia="Calibri" w:hAnsi="Times New Roman" w:cs="Times New Roman"/>
          <w:sz w:val="28"/>
          <w:szCs w:val="28"/>
        </w:rPr>
        <w:t xml:space="preserve"> о порядке определения объема и условиях предоставления государственным бюджетным и автономным учреждениям Архангельской области субсидий на иные цели, не связанные с финансовым обеспечением выполнения государственного задания, утвержденного постановлением Правительства Архангельской области от 28.08.2012 № 369-пп</w:t>
      </w:r>
      <w:r w:rsidRPr="009A00C0">
        <w:rPr>
          <w:rFonts w:ascii="Times New Roman" w:eastAsia="Times New Roman" w:hAnsi="Times New Roman" w:cs="Times New Roman"/>
          <w:sz w:val="28"/>
          <w:szCs w:val="28"/>
          <w:lang w:eastAsia="ru-RU" w:bidi="ru-RU"/>
        </w:rPr>
        <w:t>.</w:t>
      </w:r>
    </w:p>
    <w:p w:rsidR="009A00C0" w:rsidRPr="009A00C0" w:rsidRDefault="009A00C0" w:rsidP="009A00C0">
      <w:pPr>
        <w:spacing w:after="0" w:line="240" w:lineRule="auto"/>
        <w:ind w:firstLine="709"/>
        <w:jc w:val="both"/>
        <w:rPr>
          <w:rFonts w:ascii="Times New Roman" w:eastAsia="Courier New" w:hAnsi="Times New Roman" w:cs="Times New Roman"/>
          <w:sz w:val="28"/>
          <w:szCs w:val="28"/>
          <w:lang w:eastAsia="ru-RU"/>
        </w:rPr>
      </w:pPr>
      <w:r w:rsidRPr="009A00C0">
        <w:rPr>
          <w:rFonts w:ascii="Times New Roman" w:eastAsia="Calibri" w:hAnsi="Times New Roman" w:cs="Times New Roman"/>
          <w:sz w:val="28"/>
          <w:szCs w:val="28"/>
        </w:rPr>
        <w:t xml:space="preserve">На момент проведения контрольного мероприятия (25.03.2025) работы по капитальному ремонту указанного объекта не закончены. </w:t>
      </w:r>
      <w:r w:rsidRPr="009A00C0">
        <w:rPr>
          <w:rFonts w:ascii="Times New Roman" w:eastAsia="Courier New" w:hAnsi="Times New Roman" w:cs="Times New Roman"/>
          <w:sz w:val="28"/>
          <w:szCs w:val="28"/>
          <w:lang w:eastAsia="ru-RU"/>
        </w:rPr>
        <w:t xml:space="preserve">Положениями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 предусматривается возможность принятия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прекращения признания объекта в качестве актива субъекта учета (выбытия с балансового учета) на основании решения постоянно действующей комиссии по поступлению и выбытию активов (далее - Комиссия), оформленного оправдательным документом (первичным </w:t>
      </w:r>
      <w:r w:rsidRPr="009A00C0">
        <w:rPr>
          <w:rFonts w:ascii="Times New Roman" w:eastAsia="Courier New" w:hAnsi="Times New Roman" w:cs="Times New Roman"/>
          <w:sz w:val="28"/>
          <w:szCs w:val="28"/>
          <w:lang w:eastAsia="ru-RU"/>
        </w:rPr>
        <w:lastRenderedPageBreak/>
        <w:t>(сводным) учетным документом) (</w:t>
      </w:r>
      <w:hyperlink r:id="rId9" w:history="1">
        <w:r w:rsidRPr="009A00C0">
          <w:rPr>
            <w:rFonts w:ascii="Times New Roman" w:eastAsia="Courier New" w:hAnsi="Times New Roman" w:cs="Times New Roman"/>
            <w:sz w:val="28"/>
            <w:szCs w:val="28"/>
            <w:lang w:eastAsia="ru-RU"/>
          </w:rPr>
          <w:t>пункт 34</w:t>
        </w:r>
      </w:hyperlink>
      <w:r w:rsidRPr="009A00C0">
        <w:rPr>
          <w:rFonts w:ascii="Times New Roman" w:eastAsia="Courier New" w:hAnsi="Times New Roman" w:cs="Times New Roman"/>
          <w:sz w:val="28"/>
          <w:szCs w:val="28"/>
          <w:lang w:eastAsia="ru-RU"/>
        </w:rPr>
        <w:t xml:space="preserve"> Инструкции № 157н). Таким образом, принятие решения об изменении стоимости объектов основных средств находится в компетенции Комиссии</w:t>
      </w:r>
      <w:r w:rsidRPr="009A00C0">
        <w:rPr>
          <w:rFonts w:ascii="Times New Roman" w:eastAsia="Courier New" w:hAnsi="Times New Roman" w:cs="Times New Roman"/>
          <w:sz w:val="28"/>
          <w:szCs w:val="28"/>
          <w:vertAlign w:val="superscript"/>
          <w:lang w:eastAsia="ru-RU"/>
        </w:rPr>
        <w:footnoteReference w:id="1"/>
      </w:r>
      <w:r w:rsidRPr="009A00C0">
        <w:rPr>
          <w:rFonts w:ascii="Times New Roman" w:eastAsia="Courier New" w:hAnsi="Times New Roman" w:cs="Times New Roman"/>
          <w:sz w:val="28"/>
          <w:szCs w:val="28"/>
          <w:lang w:eastAsia="ru-RU"/>
        </w:rPr>
        <w:t>.</w:t>
      </w:r>
    </w:p>
    <w:p w:rsidR="009A00C0" w:rsidRPr="009A00C0" w:rsidRDefault="009A00C0" w:rsidP="009A00C0">
      <w:pPr>
        <w:autoSpaceDE w:val="0"/>
        <w:autoSpaceDN w:val="0"/>
        <w:adjustRightInd w:val="0"/>
        <w:spacing w:after="0" w:line="240" w:lineRule="auto"/>
        <w:ind w:firstLine="709"/>
        <w:jc w:val="both"/>
        <w:rPr>
          <w:rFonts w:ascii="Times New Roman" w:eastAsia="Courier New" w:hAnsi="Times New Roman" w:cs="Times New Roman"/>
          <w:sz w:val="28"/>
          <w:szCs w:val="28"/>
          <w:u w:val="single"/>
          <w:lang w:eastAsia="ru-RU" w:bidi="ru-RU"/>
        </w:rPr>
      </w:pPr>
      <w:bookmarkStart w:id="0" w:name="_GoBack"/>
      <w:r w:rsidRPr="009A00C0">
        <w:rPr>
          <w:rFonts w:ascii="Times New Roman" w:eastAsia="Courier New" w:hAnsi="Times New Roman" w:cs="Times New Roman"/>
          <w:sz w:val="28"/>
          <w:szCs w:val="28"/>
          <w:u w:val="single"/>
          <w:lang w:eastAsia="ru-RU"/>
        </w:rPr>
        <w:t xml:space="preserve">С учетом изложенного, </w:t>
      </w:r>
      <w:proofErr w:type="spellStart"/>
      <w:r w:rsidRPr="009A00C0">
        <w:rPr>
          <w:rFonts w:ascii="Times New Roman" w:eastAsia="Courier New" w:hAnsi="Times New Roman" w:cs="Times New Roman"/>
          <w:sz w:val="28"/>
          <w:szCs w:val="28"/>
          <w:u w:val="single"/>
          <w:lang w:eastAsia="ru-RU" w:bidi="ru-RU"/>
        </w:rPr>
        <w:t>контрольно-счетная</w:t>
      </w:r>
      <w:proofErr w:type="spellEnd"/>
      <w:r w:rsidRPr="009A00C0">
        <w:rPr>
          <w:rFonts w:ascii="Times New Roman" w:eastAsia="Courier New" w:hAnsi="Times New Roman" w:cs="Times New Roman"/>
          <w:sz w:val="28"/>
          <w:szCs w:val="28"/>
          <w:u w:val="single"/>
          <w:lang w:eastAsia="ru-RU" w:bidi="ru-RU"/>
        </w:rPr>
        <w:t xml:space="preserve"> палата Архангельской области в целях </w:t>
      </w:r>
      <w:r w:rsidRPr="009A00C0">
        <w:rPr>
          <w:rFonts w:ascii="Times New Roman" w:eastAsia="Courier New" w:hAnsi="Times New Roman" w:cs="Times New Roman"/>
          <w:sz w:val="28"/>
          <w:szCs w:val="28"/>
          <w:u w:val="single"/>
          <w:lang w:eastAsia="ru-RU"/>
        </w:rPr>
        <w:t xml:space="preserve">соблюдения бюджетного законодательства, эффективного и результативного использования предоставленных бюджетных средств рекомендует обеспечить рассмотрение </w:t>
      </w:r>
      <w:r w:rsidRPr="009A00C0">
        <w:rPr>
          <w:rFonts w:ascii="Times New Roman" w:eastAsia="Courier New" w:hAnsi="Times New Roman" w:cs="Times New Roman"/>
          <w:sz w:val="28"/>
          <w:szCs w:val="28"/>
          <w:u w:val="single"/>
          <w:lang w:eastAsia="ru-RU" w:bidi="ru-RU"/>
        </w:rPr>
        <w:t xml:space="preserve">вопросов о внесении </w:t>
      </w:r>
      <w:r w:rsidRPr="009A00C0">
        <w:rPr>
          <w:rFonts w:ascii="Times New Roman" w:eastAsia="Courier New" w:hAnsi="Times New Roman" w:cs="Times New Roman"/>
          <w:sz w:val="28"/>
          <w:szCs w:val="28"/>
          <w:u w:val="single"/>
          <w:lang w:eastAsia="ru-RU"/>
        </w:rPr>
        <w:t xml:space="preserve">в установленном порядке </w:t>
      </w:r>
      <w:r w:rsidRPr="009A00C0">
        <w:rPr>
          <w:rFonts w:ascii="Times New Roman" w:eastAsia="Courier New" w:hAnsi="Times New Roman" w:cs="Times New Roman"/>
          <w:sz w:val="28"/>
          <w:szCs w:val="28"/>
          <w:u w:val="single"/>
          <w:lang w:eastAsia="ru-RU" w:bidi="ru-RU"/>
        </w:rPr>
        <w:t xml:space="preserve">изменений в учредительные документы подведомственного учреждения, о внесении изменений в наименование показателей, характеризующих объем работ; обеспечить доведение государственного задания до подведомственного учреждения с учетом основных видов деятельности подведомственного учреждения; рекомендует рассмотреть вопрос о создании в подведомственном учреждении комиссии по поступлению и выбытию активов с целью увеличения стоимости объекта основных средств, находящегося в оперативном управлении </w:t>
      </w:r>
      <w:r w:rsidRPr="009A00C0">
        <w:rPr>
          <w:rFonts w:ascii="Times New Roman" w:eastAsia="Courier New" w:hAnsi="Times New Roman" w:cs="Times New Roman"/>
          <w:bCs/>
          <w:sz w:val="28"/>
          <w:szCs w:val="28"/>
          <w:u w:val="single"/>
          <w:lang w:eastAsia="ru-RU" w:bidi="ru-RU"/>
        </w:rPr>
        <w:t>ГАУ «НПЦ»</w:t>
      </w:r>
      <w:r w:rsidRPr="009A00C0">
        <w:rPr>
          <w:rFonts w:ascii="Times New Roman" w:eastAsia="Courier New" w:hAnsi="Times New Roman" w:cs="Times New Roman"/>
          <w:sz w:val="28"/>
          <w:szCs w:val="28"/>
          <w:u w:val="single"/>
          <w:lang w:eastAsia="ru-RU" w:bidi="ru-RU"/>
        </w:rPr>
        <w:t xml:space="preserve"> («Здание кинотеатра «Север»).</w:t>
      </w:r>
    </w:p>
    <w:bookmarkEnd w:id="0"/>
    <w:p w:rsidR="007E3CB0" w:rsidRDefault="007E3CB0"/>
    <w:sectPr w:rsidR="007E3C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4B" w:rsidRDefault="0003454B" w:rsidP="009A00C0">
      <w:pPr>
        <w:spacing w:after="0" w:line="240" w:lineRule="auto"/>
      </w:pPr>
      <w:r>
        <w:separator/>
      </w:r>
    </w:p>
  </w:endnote>
  <w:endnote w:type="continuationSeparator" w:id="0">
    <w:p w:rsidR="0003454B" w:rsidRDefault="0003454B" w:rsidP="009A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4B" w:rsidRDefault="0003454B" w:rsidP="009A00C0">
      <w:pPr>
        <w:spacing w:after="0" w:line="240" w:lineRule="auto"/>
      </w:pPr>
      <w:r>
        <w:separator/>
      </w:r>
    </w:p>
  </w:footnote>
  <w:footnote w:type="continuationSeparator" w:id="0">
    <w:p w:rsidR="0003454B" w:rsidRDefault="0003454B" w:rsidP="009A00C0">
      <w:pPr>
        <w:spacing w:after="0" w:line="240" w:lineRule="auto"/>
      </w:pPr>
      <w:r>
        <w:continuationSeparator/>
      </w:r>
    </w:p>
  </w:footnote>
  <w:footnote w:id="1">
    <w:p w:rsidR="009A00C0" w:rsidRPr="00211006" w:rsidRDefault="009A00C0" w:rsidP="009A00C0">
      <w:pPr>
        <w:autoSpaceDE w:val="0"/>
        <w:autoSpaceDN w:val="0"/>
        <w:adjustRightInd w:val="0"/>
        <w:jc w:val="both"/>
        <w:rPr>
          <w:rFonts w:ascii="Times New Roman" w:hAnsi="Times New Roman" w:cs="Times New Roman"/>
          <w:sz w:val="20"/>
          <w:szCs w:val="20"/>
        </w:rPr>
      </w:pPr>
      <w:r w:rsidRPr="00211006">
        <w:rPr>
          <w:rStyle w:val="a5"/>
          <w:rFonts w:ascii="Times New Roman" w:hAnsi="Times New Roman" w:cs="Times New Roman"/>
          <w:sz w:val="20"/>
          <w:szCs w:val="20"/>
        </w:rPr>
        <w:footnoteRef/>
      </w:r>
      <w:r w:rsidRPr="00211006">
        <w:rPr>
          <w:rFonts w:ascii="Times New Roman" w:hAnsi="Times New Roman" w:cs="Times New Roman"/>
          <w:sz w:val="20"/>
          <w:szCs w:val="20"/>
        </w:rPr>
        <w:t xml:space="preserve"> Письмо Минфина России от 14.01.2004 № 16-00-14/10, Письмо Минфина России от 23.08.2024 N 02-06-09/80236</w:t>
      </w:r>
    </w:p>
    <w:p w:rsidR="009A00C0" w:rsidRDefault="009A00C0" w:rsidP="009A00C0">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C0"/>
    <w:rsid w:val="0003454B"/>
    <w:rsid w:val="007E3CB0"/>
    <w:rsid w:val="009A0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8DFF7-B12C-4B68-B2DB-B93105AF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A00C0"/>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4">
    <w:name w:val="Текст сноски Знак"/>
    <w:basedOn w:val="a0"/>
    <w:link w:val="a3"/>
    <w:uiPriority w:val="99"/>
    <w:semiHidden/>
    <w:rsid w:val="009A00C0"/>
    <w:rPr>
      <w:rFonts w:ascii="Courier New" w:eastAsia="Courier New" w:hAnsi="Courier New" w:cs="Courier New"/>
      <w:color w:val="000000"/>
      <w:sz w:val="20"/>
      <w:szCs w:val="20"/>
      <w:lang w:eastAsia="ru-RU" w:bidi="ru-RU"/>
    </w:rPr>
  </w:style>
  <w:style w:type="character" w:styleId="a5">
    <w:name w:val="footnote reference"/>
    <w:basedOn w:val="a0"/>
    <w:uiPriority w:val="99"/>
    <w:unhideWhenUsed/>
    <w:rsid w:val="009A00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5C4A8BC376239FB1F1430191D133F7BCE04927DF5474D9189DD0767A954306B78B0CDEB1980B4FB01F22D4B4D55CE285D512727F158EJ3X8N"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11078&amp;dst=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6790&amp;dst=316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50185&amp;dst=13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Колмогорова Людмила Владимировна</dc:creator>
  <cp:keywords/>
  <dc:description/>
  <cp:lastModifiedBy>Колмогорова Людмила Владимировна</cp:lastModifiedBy>
  <cp:revision>1</cp:revision>
  <dcterms:created xsi:type="dcterms:W3CDTF">2026-04-16T08:06:00Z</dcterms:created>
  <dcterms:modified xsi:type="dcterms:W3CDTF">2026-04-16T08:10:00Z</dcterms:modified>
</cp:coreProperties>
</file>